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0B38" w14:textId="77777777" w:rsidR="005B663E" w:rsidRPr="00B36F82" w:rsidRDefault="005B663E" w:rsidP="005B663E">
      <w:pPr>
        <w:jc w:val="right"/>
        <w:rPr>
          <w:b/>
          <w:i/>
          <w:sz w:val="28"/>
          <w:szCs w:val="28"/>
          <w:lang w:eastAsia="ru-RU"/>
        </w:rPr>
      </w:pPr>
      <w:r w:rsidRPr="00B36F82">
        <w:rPr>
          <w:b/>
          <w:i/>
          <w:sz w:val="28"/>
          <w:szCs w:val="28"/>
          <w:lang w:eastAsia="ru-RU"/>
        </w:rPr>
        <w:t>Проект</w:t>
      </w:r>
    </w:p>
    <w:p w14:paraId="2A8F3A0A" w14:textId="77777777" w:rsidR="00D008E3" w:rsidRDefault="00D008E3" w:rsidP="005B663E">
      <w:pPr>
        <w:jc w:val="center"/>
        <w:rPr>
          <w:b/>
          <w:sz w:val="28"/>
          <w:szCs w:val="28"/>
          <w:lang w:eastAsia="ru-RU"/>
        </w:rPr>
      </w:pPr>
    </w:p>
    <w:p w14:paraId="53B24B2D" w14:textId="77777777" w:rsidR="00A730D3" w:rsidRPr="00A730D3" w:rsidRDefault="00A730D3" w:rsidP="00A730D3">
      <w:pPr>
        <w:jc w:val="center"/>
        <w:rPr>
          <w:b/>
          <w:sz w:val="28"/>
          <w:szCs w:val="28"/>
          <w:lang w:eastAsia="ru-RU"/>
        </w:rPr>
      </w:pPr>
      <w:r w:rsidRPr="00A730D3">
        <w:rPr>
          <w:b/>
          <w:sz w:val="28"/>
          <w:szCs w:val="28"/>
          <w:lang w:eastAsia="ru-RU"/>
        </w:rPr>
        <w:t>РІШЕННЯ</w:t>
      </w:r>
    </w:p>
    <w:p w14:paraId="79FAEA5D" w14:textId="77777777" w:rsidR="00A730D3" w:rsidRPr="00A730D3" w:rsidRDefault="00A730D3" w:rsidP="00A730D3">
      <w:pPr>
        <w:jc w:val="center"/>
        <w:rPr>
          <w:b/>
          <w:sz w:val="28"/>
          <w:szCs w:val="28"/>
          <w:lang w:eastAsia="ru-RU"/>
        </w:rPr>
      </w:pPr>
      <w:r w:rsidRPr="00A730D3">
        <w:rPr>
          <w:b/>
          <w:sz w:val="28"/>
          <w:szCs w:val="28"/>
          <w:lang w:eastAsia="ru-RU"/>
        </w:rPr>
        <w:t xml:space="preserve">засідання Національної ради з питань </w:t>
      </w:r>
    </w:p>
    <w:p w14:paraId="29FDFD01" w14:textId="77777777" w:rsidR="00A730D3" w:rsidRPr="00A730D3" w:rsidRDefault="00A730D3" w:rsidP="00A730D3">
      <w:pPr>
        <w:jc w:val="center"/>
        <w:rPr>
          <w:b/>
          <w:sz w:val="28"/>
          <w:szCs w:val="28"/>
          <w:lang w:eastAsia="ru-RU"/>
        </w:rPr>
      </w:pPr>
      <w:r w:rsidRPr="00A730D3">
        <w:rPr>
          <w:b/>
          <w:sz w:val="28"/>
          <w:szCs w:val="28"/>
          <w:lang w:eastAsia="ru-RU"/>
        </w:rPr>
        <w:t>протидії туберкульозу та ВІЛ-інфекції/СНІДу</w:t>
      </w:r>
    </w:p>
    <w:p w14:paraId="0FDFD5B9" w14:textId="77777777" w:rsidR="00531F71" w:rsidRPr="0065171C" w:rsidRDefault="00A730D3" w:rsidP="00A730D3">
      <w:pPr>
        <w:jc w:val="center"/>
        <w:rPr>
          <w:b/>
          <w:sz w:val="16"/>
          <w:szCs w:val="16"/>
          <w:lang w:eastAsia="ru-RU"/>
        </w:rPr>
      </w:pPr>
      <w:r w:rsidRPr="00A730D3">
        <w:rPr>
          <w:b/>
          <w:sz w:val="28"/>
          <w:szCs w:val="28"/>
          <w:lang w:eastAsia="ru-RU"/>
        </w:rPr>
        <w:t>(далі – Національна рада)</w:t>
      </w:r>
    </w:p>
    <w:p w14:paraId="1916E331" w14:textId="77777777" w:rsidR="00D008E3" w:rsidRDefault="00D008E3" w:rsidP="003C51A2">
      <w:pPr>
        <w:ind w:left="5387"/>
        <w:rPr>
          <w:b/>
          <w:sz w:val="28"/>
          <w:szCs w:val="28"/>
          <w:lang w:val="ru-RU" w:eastAsia="ru-RU"/>
        </w:rPr>
      </w:pPr>
    </w:p>
    <w:p w14:paraId="1E167F22" w14:textId="630E8FB6" w:rsidR="00931287" w:rsidRDefault="00977A18" w:rsidP="00931287">
      <w:pPr>
        <w:ind w:left="5387"/>
        <w:rPr>
          <w:b/>
          <w:sz w:val="28"/>
          <w:szCs w:val="28"/>
          <w:lang w:eastAsia="ru-RU"/>
        </w:rPr>
      </w:pPr>
      <w:r w:rsidRPr="00977A18">
        <w:rPr>
          <w:b/>
          <w:sz w:val="28"/>
          <w:szCs w:val="28"/>
          <w:lang w:val="ru-RU" w:eastAsia="ru-RU"/>
        </w:rPr>
        <w:t>12</w:t>
      </w:r>
      <w:r w:rsidR="00F36DB8" w:rsidRPr="00DC06F7"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eastAsia="ru-RU"/>
        </w:rPr>
        <w:t>липня</w:t>
      </w:r>
      <w:r w:rsidR="00931287">
        <w:rPr>
          <w:b/>
          <w:sz w:val="28"/>
          <w:szCs w:val="28"/>
          <w:lang w:eastAsia="ru-RU"/>
        </w:rPr>
        <w:t xml:space="preserve"> 2018 року</w:t>
      </w:r>
    </w:p>
    <w:p w14:paraId="6017F4E5" w14:textId="025F27B6" w:rsidR="00931287" w:rsidRPr="00737167" w:rsidRDefault="00977A18" w:rsidP="00931287">
      <w:pPr>
        <w:ind w:left="538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>10.00</w:t>
      </w:r>
      <w:r w:rsidR="00931287" w:rsidRPr="00913917">
        <w:rPr>
          <w:b/>
          <w:sz w:val="28"/>
          <w:szCs w:val="28"/>
          <w:lang w:eastAsia="ru-RU"/>
        </w:rPr>
        <w:t xml:space="preserve"> год.</w:t>
      </w:r>
      <w:r w:rsidR="00931287" w:rsidRPr="00737167">
        <w:rPr>
          <w:b/>
          <w:sz w:val="28"/>
          <w:szCs w:val="28"/>
          <w:lang w:eastAsia="ru-RU"/>
        </w:rPr>
        <w:t xml:space="preserve"> </w:t>
      </w:r>
    </w:p>
    <w:p w14:paraId="121AE237" w14:textId="77777777" w:rsidR="00931287" w:rsidRPr="00737167" w:rsidRDefault="00931287" w:rsidP="00931287">
      <w:pPr>
        <w:ind w:left="538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Клуб Кабінету Міністрів України</w:t>
      </w:r>
    </w:p>
    <w:p w14:paraId="2C651679" w14:textId="77777777" w:rsidR="00931287" w:rsidRPr="00737167" w:rsidRDefault="00931287" w:rsidP="00931287">
      <w:pPr>
        <w:ind w:left="5387"/>
        <w:rPr>
          <w:b/>
          <w:sz w:val="28"/>
          <w:szCs w:val="28"/>
          <w:lang w:eastAsia="ru-RU"/>
        </w:rPr>
      </w:pPr>
      <w:r w:rsidRPr="00737167">
        <w:rPr>
          <w:b/>
          <w:sz w:val="28"/>
          <w:szCs w:val="28"/>
          <w:lang w:eastAsia="ru-RU"/>
        </w:rPr>
        <w:t>(</w:t>
      </w:r>
      <w:r>
        <w:rPr>
          <w:b/>
          <w:sz w:val="28"/>
          <w:szCs w:val="28"/>
          <w:lang w:eastAsia="ru-RU"/>
        </w:rPr>
        <w:t>вул. Інститутська, 7</w:t>
      </w:r>
      <w:r w:rsidRPr="00737167">
        <w:rPr>
          <w:b/>
          <w:sz w:val="28"/>
          <w:szCs w:val="28"/>
          <w:lang w:eastAsia="ru-RU"/>
        </w:rPr>
        <w:t>)</w:t>
      </w:r>
    </w:p>
    <w:p w14:paraId="3D1BE62A" w14:textId="77777777" w:rsidR="00931287" w:rsidRPr="00737167" w:rsidRDefault="00931287" w:rsidP="00931287">
      <w:pPr>
        <w:ind w:left="5387"/>
        <w:rPr>
          <w:b/>
          <w:sz w:val="28"/>
          <w:szCs w:val="28"/>
          <w:lang w:eastAsia="ru-RU"/>
        </w:rPr>
      </w:pPr>
    </w:p>
    <w:p w14:paraId="7259BAA9" w14:textId="33859E48" w:rsidR="00931287" w:rsidRPr="00021F9A" w:rsidRDefault="00931287" w:rsidP="00931287">
      <w:pPr>
        <w:ind w:firstLine="42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Головуючий – Віце-прем</w:t>
      </w:r>
      <w:r w:rsidRPr="00106E4A">
        <w:rPr>
          <w:b/>
          <w:sz w:val="28"/>
          <w:szCs w:val="28"/>
          <w:lang w:eastAsia="ru-RU"/>
        </w:rPr>
        <w:t>’</w:t>
      </w:r>
      <w:r>
        <w:rPr>
          <w:b/>
          <w:sz w:val="28"/>
          <w:szCs w:val="28"/>
          <w:lang w:eastAsia="ru-RU"/>
        </w:rPr>
        <w:t xml:space="preserve">єр-міністр України, голова Національної ради з питань протидії туберкульозу та ВІЛ-інфекції/СНІДу </w:t>
      </w:r>
      <w:proofErr w:type="spellStart"/>
      <w:r>
        <w:rPr>
          <w:b/>
          <w:sz w:val="28"/>
          <w:szCs w:val="28"/>
          <w:lang w:eastAsia="ru-RU"/>
        </w:rPr>
        <w:t>Розенко</w:t>
      </w:r>
      <w:proofErr w:type="spellEnd"/>
      <w:r w:rsidR="00021F9A" w:rsidRPr="00021F9A">
        <w:rPr>
          <w:b/>
          <w:sz w:val="28"/>
          <w:szCs w:val="28"/>
          <w:lang w:eastAsia="ru-RU"/>
        </w:rPr>
        <w:t xml:space="preserve"> </w:t>
      </w:r>
      <w:r w:rsidR="00021F9A">
        <w:rPr>
          <w:b/>
          <w:sz w:val="28"/>
          <w:szCs w:val="28"/>
          <w:lang w:eastAsia="ru-RU"/>
        </w:rPr>
        <w:t>П.В.</w:t>
      </w:r>
    </w:p>
    <w:p w14:paraId="75EA6788" w14:textId="77777777" w:rsidR="00931287" w:rsidRDefault="00931287" w:rsidP="00931287">
      <w:pPr>
        <w:jc w:val="both"/>
        <w:rPr>
          <w:b/>
          <w:sz w:val="28"/>
          <w:szCs w:val="28"/>
          <w:lang w:eastAsia="ru-RU"/>
        </w:rPr>
      </w:pPr>
    </w:p>
    <w:p w14:paraId="5DBAF9F7" w14:textId="77777777" w:rsidR="0063546E" w:rsidRDefault="00931287" w:rsidP="00931287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  <w:t xml:space="preserve">1. </w:t>
      </w:r>
      <w:r w:rsidR="00BF03FF">
        <w:rPr>
          <w:b/>
          <w:sz w:val="28"/>
          <w:szCs w:val="28"/>
          <w:lang w:eastAsia="ru-RU"/>
        </w:rPr>
        <w:t>Щ</w:t>
      </w:r>
      <w:r>
        <w:rPr>
          <w:b/>
          <w:sz w:val="28"/>
          <w:szCs w:val="28"/>
          <w:lang w:eastAsia="ru-RU"/>
        </w:rPr>
        <w:t xml:space="preserve">одо </w:t>
      </w:r>
      <w:bookmarkStart w:id="0" w:name="_Hlk515969472"/>
      <w:r w:rsidR="008C3E39">
        <w:rPr>
          <w:b/>
          <w:sz w:val="28"/>
          <w:szCs w:val="28"/>
          <w:lang w:eastAsia="ru-RU"/>
        </w:rPr>
        <w:t>стану виконання попередніх рішень засідань</w:t>
      </w:r>
      <w:bookmarkEnd w:id="0"/>
      <w:r w:rsidR="008C3E39">
        <w:rPr>
          <w:b/>
          <w:sz w:val="28"/>
          <w:szCs w:val="28"/>
          <w:lang w:eastAsia="ru-RU"/>
        </w:rPr>
        <w:t>, погодження запропонованого про</w:t>
      </w:r>
      <w:r w:rsidR="0063546E">
        <w:rPr>
          <w:b/>
          <w:sz w:val="28"/>
          <w:szCs w:val="28"/>
          <w:lang w:eastAsia="ru-RU"/>
        </w:rPr>
        <w:t>екту порядку денного засідання.</w:t>
      </w:r>
    </w:p>
    <w:p w14:paraId="7D46C606" w14:textId="77777777" w:rsidR="00BF51F2" w:rsidRDefault="00BF51F2" w:rsidP="00BF51F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BF03FF">
        <w:rPr>
          <w:sz w:val="28"/>
          <w:szCs w:val="28"/>
          <w:lang w:eastAsia="ru-RU"/>
        </w:rPr>
        <w:t xml:space="preserve">Інформацію </w:t>
      </w:r>
      <w:r>
        <w:rPr>
          <w:sz w:val="28"/>
          <w:szCs w:val="28"/>
          <w:lang w:eastAsia="ru-RU"/>
        </w:rPr>
        <w:t>Віце-прем’єр-міністра України, г</w:t>
      </w:r>
      <w:r w:rsidRPr="00BF03FF">
        <w:rPr>
          <w:sz w:val="28"/>
          <w:szCs w:val="28"/>
          <w:lang w:eastAsia="ru-RU"/>
        </w:rPr>
        <w:t xml:space="preserve">олови Національної ради </w:t>
      </w:r>
      <w:proofErr w:type="spellStart"/>
      <w:r w:rsidRPr="00BF03FF">
        <w:rPr>
          <w:sz w:val="28"/>
          <w:szCs w:val="28"/>
          <w:lang w:eastAsia="ru-RU"/>
        </w:rPr>
        <w:t>Розенка</w:t>
      </w:r>
      <w:proofErr w:type="spellEnd"/>
      <w:r w:rsidRPr="00BF03FF">
        <w:rPr>
          <w:sz w:val="28"/>
          <w:szCs w:val="28"/>
          <w:lang w:eastAsia="ru-RU"/>
        </w:rPr>
        <w:t xml:space="preserve"> П. В. щодо </w:t>
      </w:r>
      <w:r w:rsidRPr="008C3E39">
        <w:rPr>
          <w:sz w:val="28"/>
          <w:szCs w:val="28"/>
          <w:lang w:eastAsia="ru-RU"/>
        </w:rPr>
        <w:t>стану виконання попередніх рішень засідань</w:t>
      </w:r>
      <w:r w:rsidRPr="00287FB4">
        <w:rPr>
          <w:sz w:val="28"/>
          <w:szCs w:val="28"/>
          <w:lang w:eastAsia="ru-RU"/>
        </w:rPr>
        <w:t xml:space="preserve"> </w:t>
      </w:r>
      <w:r w:rsidRPr="00BF03FF">
        <w:rPr>
          <w:sz w:val="28"/>
          <w:szCs w:val="28"/>
          <w:lang w:eastAsia="ru-RU"/>
        </w:rPr>
        <w:t>та необхідності керуватися Положенням про політику уникнення конфлікту інтересів під час голосування членами Національної ради з питань порядку денного взяти до відома.</w:t>
      </w:r>
    </w:p>
    <w:p w14:paraId="1F27DE80" w14:textId="77777777" w:rsidR="00BF51F2" w:rsidRDefault="00BF51F2" w:rsidP="00BF51F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Погодити запропонований проект порядку денного засідання.</w:t>
      </w:r>
    </w:p>
    <w:p w14:paraId="7FA4B1F7" w14:textId="77777777" w:rsidR="00BF51F2" w:rsidRDefault="00BF51F2" w:rsidP="0063546E">
      <w:pPr>
        <w:ind w:firstLine="708"/>
        <w:jc w:val="both"/>
        <w:rPr>
          <w:b/>
          <w:sz w:val="28"/>
          <w:szCs w:val="28"/>
          <w:lang w:eastAsia="ru-RU"/>
        </w:rPr>
      </w:pPr>
    </w:p>
    <w:p w14:paraId="4FB2C7DC" w14:textId="3514867F" w:rsidR="00BF51F2" w:rsidRDefault="007912B6" w:rsidP="0063546E">
      <w:pPr>
        <w:ind w:firstLine="708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BF51F2">
        <w:rPr>
          <w:b/>
          <w:sz w:val="28"/>
          <w:szCs w:val="28"/>
          <w:lang w:eastAsia="ru-RU"/>
        </w:rPr>
        <w:t xml:space="preserve">. </w:t>
      </w:r>
      <w:r w:rsidR="00F40D60" w:rsidRPr="00F40D60">
        <w:rPr>
          <w:b/>
          <w:sz w:val="28"/>
          <w:szCs w:val="28"/>
          <w:lang w:eastAsia="ru-RU"/>
        </w:rPr>
        <w:t>Врахування нових вимог та рекомендацій Глобального фонду для боротьби зі СНІДом, туберкульозом та малярією (далі – Глобальний фонд) до Координаційних механізмів країн, прийнятих на 39 засіданні Правління Глобального фонду, у діяльності Національної ради та її робочих органів шляхом внесення змін та доповнень до регламентн</w:t>
      </w:r>
      <w:r w:rsidR="00F40D60">
        <w:rPr>
          <w:b/>
          <w:sz w:val="28"/>
          <w:szCs w:val="28"/>
          <w:lang w:eastAsia="ru-RU"/>
        </w:rPr>
        <w:t>их документів Національної ради</w:t>
      </w:r>
      <w:r w:rsidR="00BF51F2">
        <w:rPr>
          <w:b/>
          <w:sz w:val="28"/>
          <w:szCs w:val="28"/>
          <w:lang w:eastAsia="ru-RU"/>
        </w:rPr>
        <w:t>:</w:t>
      </w:r>
    </w:p>
    <w:p w14:paraId="7D0A3B68" w14:textId="72962D4D" w:rsidR="00F40D60" w:rsidRPr="00F40D60" w:rsidRDefault="007912B6" w:rsidP="0063546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912B6">
        <w:rPr>
          <w:sz w:val="28"/>
          <w:szCs w:val="28"/>
          <w:lang w:eastAsia="ru-RU"/>
        </w:rPr>
        <w:t xml:space="preserve">.1. </w:t>
      </w:r>
      <w:r w:rsidR="00F40D60">
        <w:rPr>
          <w:sz w:val="28"/>
          <w:szCs w:val="28"/>
          <w:lang w:eastAsia="ru-RU"/>
        </w:rPr>
        <w:t xml:space="preserve">Інформацію про </w:t>
      </w:r>
      <w:r w:rsidR="00F40D60" w:rsidRPr="00F40D60">
        <w:rPr>
          <w:sz w:val="28"/>
          <w:szCs w:val="28"/>
          <w:lang w:eastAsia="ru-RU"/>
        </w:rPr>
        <w:t>прийнят</w:t>
      </w:r>
      <w:r w:rsidR="00F40D60">
        <w:rPr>
          <w:sz w:val="28"/>
          <w:szCs w:val="28"/>
          <w:lang w:eastAsia="ru-RU"/>
        </w:rPr>
        <w:t>і</w:t>
      </w:r>
      <w:r w:rsidR="00F40D60" w:rsidRPr="00F40D60">
        <w:rPr>
          <w:sz w:val="28"/>
          <w:szCs w:val="28"/>
          <w:lang w:eastAsia="ru-RU"/>
        </w:rPr>
        <w:t xml:space="preserve"> на 39 засіданні Правління Глобального фонду</w:t>
      </w:r>
      <w:r w:rsidR="00F40D60">
        <w:rPr>
          <w:sz w:val="28"/>
          <w:szCs w:val="28"/>
          <w:lang w:eastAsia="ru-RU"/>
        </w:rPr>
        <w:t xml:space="preserve"> рішення взяти до відома.</w:t>
      </w:r>
    </w:p>
    <w:p w14:paraId="01CB37FC" w14:textId="09B7B062" w:rsidR="00BF51F2" w:rsidRPr="007912B6" w:rsidRDefault="00F40D60" w:rsidP="0063546E">
      <w:pPr>
        <w:ind w:firstLine="708"/>
        <w:jc w:val="both"/>
        <w:rPr>
          <w:sz w:val="28"/>
          <w:szCs w:val="28"/>
          <w:lang w:eastAsia="ru-RU"/>
        </w:rPr>
      </w:pPr>
      <w:r w:rsidRPr="00F40D60">
        <w:rPr>
          <w:sz w:val="28"/>
          <w:szCs w:val="28"/>
          <w:lang w:val="ru-RU" w:eastAsia="ru-RU"/>
        </w:rPr>
        <w:t xml:space="preserve">2.2. </w:t>
      </w:r>
      <w:r w:rsidR="007912B6" w:rsidRPr="007912B6">
        <w:rPr>
          <w:sz w:val="28"/>
          <w:szCs w:val="28"/>
          <w:lang w:eastAsia="ru-RU"/>
        </w:rPr>
        <w:t xml:space="preserve">Затвердити </w:t>
      </w:r>
      <w:r w:rsidR="00D05FA0">
        <w:rPr>
          <w:sz w:val="28"/>
          <w:szCs w:val="28"/>
          <w:lang w:eastAsia="ru-RU"/>
        </w:rPr>
        <w:t>запропоновані зміни та доповнення до</w:t>
      </w:r>
      <w:r w:rsidR="007912B6" w:rsidRPr="007912B6">
        <w:rPr>
          <w:sz w:val="28"/>
          <w:szCs w:val="28"/>
          <w:lang w:eastAsia="ru-RU"/>
        </w:rPr>
        <w:t xml:space="preserve"> Регламенту Національної ради та Порядку ротації членів Національної ради, що додаються.</w:t>
      </w:r>
    </w:p>
    <w:p w14:paraId="45D851A8" w14:textId="77777777" w:rsidR="00BF51F2" w:rsidRDefault="00BF51F2" w:rsidP="0063546E">
      <w:pPr>
        <w:ind w:firstLine="708"/>
        <w:jc w:val="both"/>
        <w:rPr>
          <w:b/>
          <w:sz w:val="28"/>
          <w:szCs w:val="28"/>
          <w:lang w:eastAsia="ru-RU"/>
        </w:rPr>
      </w:pPr>
    </w:p>
    <w:p w14:paraId="63E3819A" w14:textId="17F47AFF" w:rsidR="008C3E39" w:rsidRPr="008C3E39" w:rsidRDefault="00987492" w:rsidP="008C3E39">
      <w:pPr>
        <w:tabs>
          <w:tab w:val="left" w:pos="0"/>
          <w:tab w:val="left" w:pos="851"/>
          <w:tab w:val="left" w:pos="1980"/>
        </w:tabs>
        <w:ind w:firstLine="567"/>
        <w:jc w:val="both"/>
        <w:rPr>
          <w:b/>
          <w:sz w:val="28"/>
          <w:szCs w:val="28"/>
          <w:lang w:val="ru-RU" w:eastAsia="ru-RU"/>
        </w:rPr>
      </w:pPr>
      <w:r w:rsidRPr="00987492">
        <w:rPr>
          <w:b/>
          <w:sz w:val="28"/>
          <w:szCs w:val="28"/>
          <w:lang w:val="ru-RU" w:eastAsia="ru-RU"/>
        </w:rPr>
        <w:t>3</w:t>
      </w:r>
      <w:r w:rsidR="008C3E39">
        <w:rPr>
          <w:b/>
          <w:sz w:val="28"/>
          <w:szCs w:val="28"/>
          <w:lang w:eastAsia="ru-RU"/>
        </w:rPr>
        <w:t xml:space="preserve">. Про результати вивчення </w:t>
      </w:r>
      <w:bookmarkStart w:id="1" w:name="_Hlk515983554"/>
      <w:r w:rsidR="008C3E39">
        <w:rPr>
          <w:b/>
          <w:sz w:val="28"/>
          <w:szCs w:val="28"/>
          <w:lang w:eastAsia="ru-RU"/>
        </w:rPr>
        <w:t xml:space="preserve">Тимчасовою спеціальною </w:t>
      </w:r>
      <w:r w:rsidR="00F92293">
        <w:rPr>
          <w:b/>
          <w:sz w:val="28"/>
          <w:szCs w:val="28"/>
          <w:lang w:eastAsia="ru-RU"/>
        </w:rPr>
        <w:t>г</w:t>
      </w:r>
      <w:r w:rsidR="008C3E39">
        <w:rPr>
          <w:b/>
          <w:sz w:val="28"/>
          <w:szCs w:val="28"/>
          <w:lang w:eastAsia="ru-RU"/>
        </w:rPr>
        <w:t>рупою з етичних питань, визначених пунктом 13 протоколу засідання Національної ради від 1 березня 2018 року</w:t>
      </w:r>
      <w:bookmarkEnd w:id="1"/>
      <w:r w:rsidR="008C3E39" w:rsidRPr="008C3E39">
        <w:rPr>
          <w:b/>
          <w:sz w:val="28"/>
          <w:szCs w:val="28"/>
          <w:lang w:val="ru-RU" w:eastAsia="ru-RU"/>
        </w:rPr>
        <w:t>:</w:t>
      </w:r>
    </w:p>
    <w:p w14:paraId="29EFE83C" w14:textId="56E826AE" w:rsidR="008C3E39" w:rsidRPr="0034480B" w:rsidRDefault="00843891" w:rsidP="008C3E39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3</w:t>
      </w:r>
      <w:r w:rsidR="00DC06F7" w:rsidRPr="0034480B">
        <w:rPr>
          <w:sz w:val="28"/>
          <w:szCs w:val="28"/>
          <w:lang w:val="ru-RU" w:eastAsia="ru-RU"/>
        </w:rPr>
        <w:t xml:space="preserve">.1. </w:t>
      </w:r>
      <w:r w:rsidR="00DC06F7" w:rsidRPr="0034480B">
        <w:rPr>
          <w:sz w:val="28"/>
          <w:szCs w:val="28"/>
          <w:lang w:eastAsia="ru-RU"/>
        </w:rPr>
        <w:t xml:space="preserve">Інформацію про результати вивчення Тимчасовою спеціальною </w:t>
      </w:r>
      <w:r w:rsidR="00F92293">
        <w:rPr>
          <w:sz w:val="28"/>
          <w:szCs w:val="28"/>
          <w:lang w:eastAsia="ru-RU"/>
        </w:rPr>
        <w:t>г</w:t>
      </w:r>
      <w:r w:rsidR="00DC06F7" w:rsidRPr="0034480B">
        <w:rPr>
          <w:sz w:val="28"/>
          <w:szCs w:val="28"/>
          <w:lang w:eastAsia="ru-RU"/>
        </w:rPr>
        <w:t>рупою з етичних питань, визначених пунктом 13 протоколу засідання Національної ради від 1 березня 2018 року</w:t>
      </w:r>
      <w:r w:rsidR="00F92293">
        <w:rPr>
          <w:sz w:val="28"/>
          <w:szCs w:val="28"/>
          <w:lang w:eastAsia="ru-RU"/>
        </w:rPr>
        <w:t>,</w:t>
      </w:r>
      <w:r w:rsidR="0034480B" w:rsidRPr="0034480B">
        <w:rPr>
          <w:sz w:val="28"/>
          <w:szCs w:val="28"/>
          <w:lang w:eastAsia="ru-RU"/>
        </w:rPr>
        <w:t xml:space="preserve"> взяти до відома.</w:t>
      </w:r>
    </w:p>
    <w:p w14:paraId="60521818" w14:textId="2A72E396" w:rsidR="0034480B" w:rsidRDefault="00843891" w:rsidP="008C3E39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4480B" w:rsidRPr="0034480B">
        <w:rPr>
          <w:sz w:val="28"/>
          <w:szCs w:val="28"/>
          <w:lang w:eastAsia="ru-RU"/>
        </w:rPr>
        <w:t>.</w:t>
      </w:r>
      <w:r w:rsidR="007912B6">
        <w:rPr>
          <w:sz w:val="28"/>
          <w:szCs w:val="28"/>
          <w:lang w:eastAsia="ru-RU"/>
        </w:rPr>
        <w:t>2</w:t>
      </w:r>
      <w:r w:rsidR="0034480B" w:rsidRPr="0034480B">
        <w:rPr>
          <w:sz w:val="28"/>
          <w:szCs w:val="28"/>
          <w:lang w:eastAsia="ru-RU"/>
        </w:rPr>
        <w:t xml:space="preserve">. </w:t>
      </w:r>
      <w:r w:rsidR="00987492">
        <w:rPr>
          <w:sz w:val="28"/>
          <w:szCs w:val="28"/>
          <w:lang w:eastAsia="ru-RU"/>
        </w:rPr>
        <w:t xml:space="preserve">Враховуючи </w:t>
      </w:r>
      <w:r w:rsidR="003537A1" w:rsidRPr="0063546E">
        <w:rPr>
          <w:sz w:val="28"/>
          <w:szCs w:val="28"/>
          <w:lang w:eastAsia="ru-RU"/>
        </w:rPr>
        <w:t>висновк</w:t>
      </w:r>
      <w:r w:rsidR="00987492">
        <w:rPr>
          <w:sz w:val="28"/>
          <w:szCs w:val="28"/>
          <w:lang w:eastAsia="ru-RU"/>
        </w:rPr>
        <w:t xml:space="preserve">и </w:t>
      </w:r>
      <w:r w:rsidR="003537A1" w:rsidRPr="0063546E">
        <w:rPr>
          <w:sz w:val="28"/>
          <w:szCs w:val="28"/>
          <w:lang w:eastAsia="ru-RU"/>
        </w:rPr>
        <w:t xml:space="preserve">та </w:t>
      </w:r>
      <w:r w:rsidR="0034480B" w:rsidRPr="0063546E">
        <w:rPr>
          <w:sz w:val="28"/>
          <w:szCs w:val="28"/>
          <w:lang w:eastAsia="ru-RU"/>
        </w:rPr>
        <w:t>рекомендаці</w:t>
      </w:r>
      <w:r w:rsidR="00987492">
        <w:rPr>
          <w:sz w:val="28"/>
          <w:szCs w:val="28"/>
          <w:lang w:eastAsia="ru-RU"/>
        </w:rPr>
        <w:t xml:space="preserve">ї </w:t>
      </w:r>
      <w:r w:rsidR="00987492" w:rsidRPr="00987492">
        <w:rPr>
          <w:sz w:val="28"/>
          <w:szCs w:val="28"/>
          <w:lang w:eastAsia="ru-RU"/>
        </w:rPr>
        <w:t>Тимчасово</w:t>
      </w:r>
      <w:r w:rsidR="00987492">
        <w:rPr>
          <w:sz w:val="28"/>
          <w:szCs w:val="28"/>
          <w:lang w:eastAsia="ru-RU"/>
        </w:rPr>
        <w:t>ї</w:t>
      </w:r>
      <w:r w:rsidR="00987492" w:rsidRPr="00987492">
        <w:rPr>
          <w:sz w:val="28"/>
          <w:szCs w:val="28"/>
          <w:lang w:eastAsia="ru-RU"/>
        </w:rPr>
        <w:t xml:space="preserve"> спеціально</w:t>
      </w:r>
      <w:r w:rsidR="00987492">
        <w:rPr>
          <w:sz w:val="28"/>
          <w:szCs w:val="28"/>
          <w:lang w:eastAsia="ru-RU"/>
        </w:rPr>
        <w:t>ї</w:t>
      </w:r>
      <w:r w:rsidR="00987492" w:rsidRPr="00987492">
        <w:rPr>
          <w:sz w:val="28"/>
          <w:szCs w:val="28"/>
          <w:lang w:eastAsia="ru-RU"/>
        </w:rPr>
        <w:t xml:space="preserve"> </w:t>
      </w:r>
      <w:r w:rsidR="00F92293">
        <w:rPr>
          <w:sz w:val="28"/>
          <w:szCs w:val="28"/>
          <w:lang w:eastAsia="ru-RU"/>
        </w:rPr>
        <w:t>г</w:t>
      </w:r>
      <w:r w:rsidR="00987492" w:rsidRPr="00987492">
        <w:rPr>
          <w:sz w:val="28"/>
          <w:szCs w:val="28"/>
          <w:lang w:eastAsia="ru-RU"/>
        </w:rPr>
        <w:t>руп</w:t>
      </w:r>
      <w:r w:rsidR="00987492">
        <w:rPr>
          <w:sz w:val="28"/>
          <w:szCs w:val="28"/>
          <w:lang w:eastAsia="ru-RU"/>
        </w:rPr>
        <w:t>и</w:t>
      </w:r>
      <w:r w:rsidR="00987492" w:rsidRPr="00987492">
        <w:rPr>
          <w:sz w:val="28"/>
          <w:szCs w:val="28"/>
          <w:lang w:eastAsia="ru-RU"/>
        </w:rPr>
        <w:t xml:space="preserve"> з етичних питань</w:t>
      </w:r>
      <w:r w:rsidR="00987492">
        <w:rPr>
          <w:sz w:val="28"/>
          <w:szCs w:val="28"/>
          <w:lang w:eastAsia="ru-RU"/>
        </w:rPr>
        <w:t>, які свідчать про порушення членами Національної ради</w:t>
      </w:r>
      <w:r w:rsidR="00987492" w:rsidRPr="00987492">
        <w:rPr>
          <w:sz w:val="28"/>
          <w:szCs w:val="28"/>
          <w:lang w:eastAsia="ru-RU"/>
        </w:rPr>
        <w:t xml:space="preserve"> </w:t>
      </w:r>
      <w:r w:rsidR="00F92293">
        <w:rPr>
          <w:sz w:val="28"/>
          <w:szCs w:val="28"/>
          <w:lang w:eastAsia="ru-RU"/>
        </w:rPr>
        <w:t xml:space="preserve">Пилипенком В.В., </w:t>
      </w:r>
      <w:proofErr w:type="spellStart"/>
      <w:r w:rsidR="00F92293">
        <w:rPr>
          <w:sz w:val="28"/>
          <w:szCs w:val="28"/>
          <w:lang w:eastAsia="ru-RU"/>
        </w:rPr>
        <w:t>Горбасенком</w:t>
      </w:r>
      <w:proofErr w:type="spellEnd"/>
      <w:r w:rsidR="00F92293">
        <w:rPr>
          <w:sz w:val="28"/>
          <w:szCs w:val="28"/>
          <w:lang w:eastAsia="ru-RU"/>
        </w:rPr>
        <w:t xml:space="preserve"> І.М. та </w:t>
      </w:r>
      <w:proofErr w:type="spellStart"/>
      <w:r w:rsidR="00F92293">
        <w:rPr>
          <w:sz w:val="28"/>
          <w:szCs w:val="28"/>
          <w:lang w:eastAsia="ru-RU"/>
        </w:rPr>
        <w:t>Дороховою</w:t>
      </w:r>
      <w:proofErr w:type="spellEnd"/>
      <w:r w:rsidR="00D14E0D">
        <w:rPr>
          <w:sz w:val="28"/>
          <w:szCs w:val="28"/>
          <w:lang w:eastAsia="ru-RU"/>
        </w:rPr>
        <w:t xml:space="preserve"> Ю.В. </w:t>
      </w:r>
      <w:bookmarkStart w:id="2" w:name="_Hlk517424654"/>
      <w:r w:rsidR="00987492" w:rsidRPr="00987492">
        <w:rPr>
          <w:sz w:val="28"/>
          <w:szCs w:val="28"/>
          <w:lang w:eastAsia="ru-RU"/>
        </w:rPr>
        <w:t>норм Кодексу етики та службової поведінки для членів координаційних механізмів країн</w:t>
      </w:r>
      <w:bookmarkEnd w:id="2"/>
      <w:r w:rsidR="00987492">
        <w:rPr>
          <w:sz w:val="28"/>
          <w:szCs w:val="28"/>
          <w:lang w:eastAsia="ru-RU"/>
        </w:rPr>
        <w:t>, вирішили:</w:t>
      </w:r>
    </w:p>
    <w:p w14:paraId="548D0554" w14:textId="68F76C38" w:rsidR="00987492" w:rsidRDefault="00843891" w:rsidP="008C3E39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987492">
        <w:rPr>
          <w:sz w:val="28"/>
          <w:szCs w:val="28"/>
          <w:lang w:eastAsia="ru-RU"/>
        </w:rPr>
        <w:t xml:space="preserve">.2.1. Вивести зі складу Національної ради </w:t>
      </w:r>
      <w:r w:rsidR="00987492" w:rsidRPr="00987492">
        <w:rPr>
          <w:sz w:val="28"/>
          <w:szCs w:val="28"/>
          <w:lang w:eastAsia="ru-RU"/>
        </w:rPr>
        <w:t>Пилипенка В.В. з подальшим здійсненням ротації за квотою відповідно до Регламенту Національної ради</w:t>
      </w:r>
      <w:r w:rsidR="00987492">
        <w:rPr>
          <w:sz w:val="28"/>
          <w:szCs w:val="28"/>
          <w:lang w:eastAsia="ru-RU"/>
        </w:rPr>
        <w:t>.</w:t>
      </w:r>
    </w:p>
    <w:p w14:paraId="0EF9DFC1" w14:textId="051CB795" w:rsidR="00D14E0D" w:rsidRDefault="00843891" w:rsidP="008C3E39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14E0D">
        <w:rPr>
          <w:sz w:val="28"/>
          <w:szCs w:val="28"/>
          <w:lang w:eastAsia="ru-RU"/>
        </w:rPr>
        <w:t xml:space="preserve">.2.2. Враховуючи, що у </w:t>
      </w:r>
      <w:proofErr w:type="spellStart"/>
      <w:r w:rsidR="00D14E0D">
        <w:rPr>
          <w:sz w:val="28"/>
          <w:szCs w:val="28"/>
          <w:lang w:eastAsia="ru-RU"/>
        </w:rPr>
        <w:t>Горбасенка</w:t>
      </w:r>
      <w:proofErr w:type="spellEnd"/>
      <w:r w:rsidR="00D14E0D">
        <w:rPr>
          <w:sz w:val="28"/>
          <w:szCs w:val="28"/>
          <w:lang w:eastAsia="ru-RU"/>
        </w:rPr>
        <w:t xml:space="preserve"> І.М. на момент розгляду питання сплив термін член</w:t>
      </w:r>
      <w:r w:rsidR="00D55305">
        <w:rPr>
          <w:sz w:val="28"/>
          <w:szCs w:val="28"/>
          <w:lang w:eastAsia="ru-RU"/>
        </w:rPr>
        <w:t>ства</w:t>
      </w:r>
      <w:r w:rsidR="00D14E0D">
        <w:rPr>
          <w:sz w:val="28"/>
          <w:szCs w:val="28"/>
          <w:lang w:eastAsia="ru-RU"/>
        </w:rPr>
        <w:t xml:space="preserve"> </w:t>
      </w:r>
      <w:r w:rsidR="00D55305">
        <w:rPr>
          <w:sz w:val="28"/>
          <w:szCs w:val="28"/>
          <w:lang w:eastAsia="ru-RU"/>
        </w:rPr>
        <w:t xml:space="preserve">у </w:t>
      </w:r>
      <w:r w:rsidR="00D14E0D">
        <w:rPr>
          <w:sz w:val="28"/>
          <w:szCs w:val="28"/>
          <w:lang w:eastAsia="ru-RU"/>
        </w:rPr>
        <w:t>Національн</w:t>
      </w:r>
      <w:r w:rsidR="00D55305">
        <w:rPr>
          <w:sz w:val="28"/>
          <w:szCs w:val="28"/>
          <w:lang w:eastAsia="ru-RU"/>
        </w:rPr>
        <w:t>ій</w:t>
      </w:r>
      <w:r w:rsidR="00D14E0D">
        <w:rPr>
          <w:sz w:val="28"/>
          <w:szCs w:val="28"/>
          <w:lang w:eastAsia="ru-RU"/>
        </w:rPr>
        <w:t xml:space="preserve"> рад</w:t>
      </w:r>
      <w:r w:rsidR="00D55305">
        <w:rPr>
          <w:sz w:val="28"/>
          <w:szCs w:val="28"/>
          <w:lang w:eastAsia="ru-RU"/>
        </w:rPr>
        <w:t>і</w:t>
      </w:r>
      <w:r w:rsidR="00D14E0D">
        <w:rPr>
          <w:sz w:val="28"/>
          <w:szCs w:val="28"/>
          <w:lang w:eastAsia="ru-RU"/>
        </w:rPr>
        <w:t xml:space="preserve">, вважати його вихід зі складу як </w:t>
      </w:r>
      <w:r w:rsidR="00D6056E">
        <w:rPr>
          <w:sz w:val="28"/>
          <w:szCs w:val="28"/>
          <w:lang w:eastAsia="ru-RU"/>
        </w:rPr>
        <w:t>члена Національної ради</w:t>
      </w:r>
      <w:r w:rsidR="00D14E0D">
        <w:rPr>
          <w:sz w:val="28"/>
          <w:szCs w:val="28"/>
          <w:lang w:eastAsia="ru-RU"/>
        </w:rPr>
        <w:t xml:space="preserve">, </w:t>
      </w:r>
      <w:r w:rsidR="00D6056E">
        <w:rPr>
          <w:sz w:val="28"/>
          <w:szCs w:val="28"/>
          <w:lang w:eastAsia="ru-RU"/>
        </w:rPr>
        <w:t>який</w:t>
      </w:r>
      <w:r w:rsidR="00D14E0D">
        <w:rPr>
          <w:sz w:val="28"/>
          <w:szCs w:val="28"/>
          <w:lang w:eastAsia="ru-RU"/>
        </w:rPr>
        <w:t xml:space="preserve"> </w:t>
      </w:r>
      <w:r w:rsidR="003E4FCC">
        <w:rPr>
          <w:sz w:val="28"/>
          <w:szCs w:val="28"/>
          <w:lang w:eastAsia="ru-RU"/>
        </w:rPr>
        <w:t xml:space="preserve">порушив </w:t>
      </w:r>
      <w:r w:rsidR="003E4FCC" w:rsidRPr="003E4FCC">
        <w:rPr>
          <w:sz w:val="28"/>
          <w:szCs w:val="28"/>
          <w:lang w:eastAsia="ru-RU"/>
        </w:rPr>
        <w:t>норм</w:t>
      </w:r>
      <w:r w:rsidR="003E4FCC">
        <w:rPr>
          <w:sz w:val="28"/>
          <w:szCs w:val="28"/>
          <w:lang w:eastAsia="ru-RU"/>
        </w:rPr>
        <w:t>и</w:t>
      </w:r>
      <w:r w:rsidR="003E4FCC" w:rsidRPr="003E4FCC">
        <w:rPr>
          <w:sz w:val="28"/>
          <w:szCs w:val="28"/>
          <w:lang w:eastAsia="ru-RU"/>
        </w:rPr>
        <w:t xml:space="preserve"> Кодексу етики та службової поведінки для членів координаційних механізмів країн</w:t>
      </w:r>
      <w:r w:rsidR="003E4FCC">
        <w:rPr>
          <w:sz w:val="28"/>
          <w:szCs w:val="28"/>
          <w:lang w:eastAsia="ru-RU"/>
        </w:rPr>
        <w:t>.</w:t>
      </w:r>
    </w:p>
    <w:p w14:paraId="1400485D" w14:textId="4432BD1C" w:rsidR="00987492" w:rsidRDefault="00843891" w:rsidP="008C3E39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87492">
        <w:rPr>
          <w:sz w:val="28"/>
          <w:szCs w:val="28"/>
          <w:lang w:eastAsia="ru-RU"/>
        </w:rPr>
        <w:t>.2.</w:t>
      </w:r>
      <w:r>
        <w:rPr>
          <w:sz w:val="28"/>
          <w:szCs w:val="28"/>
          <w:lang w:eastAsia="ru-RU"/>
        </w:rPr>
        <w:t>3</w:t>
      </w:r>
      <w:r w:rsidR="00987492">
        <w:rPr>
          <w:sz w:val="28"/>
          <w:szCs w:val="28"/>
          <w:lang w:eastAsia="ru-RU"/>
        </w:rPr>
        <w:t>. В</w:t>
      </w:r>
      <w:r w:rsidR="00987492" w:rsidRPr="00987492">
        <w:rPr>
          <w:sz w:val="28"/>
          <w:szCs w:val="28"/>
          <w:lang w:eastAsia="ru-RU"/>
        </w:rPr>
        <w:t>иве</w:t>
      </w:r>
      <w:r w:rsidR="00987492">
        <w:rPr>
          <w:sz w:val="28"/>
          <w:szCs w:val="28"/>
          <w:lang w:eastAsia="ru-RU"/>
        </w:rPr>
        <w:t>сти</w:t>
      </w:r>
      <w:r w:rsidR="00987492" w:rsidRPr="00987492">
        <w:rPr>
          <w:sz w:val="28"/>
          <w:szCs w:val="28"/>
          <w:lang w:eastAsia="ru-RU"/>
        </w:rPr>
        <w:t xml:space="preserve"> зі складу Національної ради </w:t>
      </w:r>
      <w:proofErr w:type="spellStart"/>
      <w:r w:rsidR="00987492" w:rsidRPr="00987492">
        <w:rPr>
          <w:sz w:val="28"/>
          <w:szCs w:val="28"/>
          <w:lang w:eastAsia="ru-RU"/>
        </w:rPr>
        <w:t>Дорохов</w:t>
      </w:r>
      <w:r w:rsidR="006B24CB">
        <w:rPr>
          <w:sz w:val="28"/>
          <w:szCs w:val="28"/>
          <w:lang w:eastAsia="ru-RU"/>
        </w:rPr>
        <w:t>у</w:t>
      </w:r>
      <w:proofErr w:type="spellEnd"/>
      <w:r w:rsidR="00987492" w:rsidRPr="00987492">
        <w:rPr>
          <w:sz w:val="28"/>
          <w:szCs w:val="28"/>
          <w:lang w:eastAsia="ru-RU"/>
        </w:rPr>
        <w:t xml:space="preserve"> Ю</w:t>
      </w:r>
      <w:r w:rsidR="00D14E0D">
        <w:rPr>
          <w:sz w:val="28"/>
          <w:szCs w:val="28"/>
          <w:lang w:eastAsia="ru-RU"/>
        </w:rPr>
        <w:t xml:space="preserve">. </w:t>
      </w:r>
      <w:r w:rsidR="00987492" w:rsidRPr="00987492">
        <w:rPr>
          <w:sz w:val="28"/>
          <w:szCs w:val="28"/>
          <w:lang w:eastAsia="ru-RU"/>
        </w:rPr>
        <w:t>В. з подальшим оголошенням  ротації за квотою відповідно до Регламенту Національної ради. До моменту обрання члена Національної ради – представника громадських організацій, які представляють інтереси осіб, які надають сексуальні послуги за винагороду, інтереси спільноти представлятиме Ісаєва Н</w:t>
      </w:r>
      <w:r w:rsidR="00D14E0D">
        <w:rPr>
          <w:sz w:val="28"/>
          <w:szCs w:val="28"/>
          <w:lang w:eastAsia="ru-RU"/>
        </w:rPr>
        <w:t>.</w:t>
      </w:r>
      <w:r w:rsidR="00987492" w:rsidRPr="00987492">
        <w:rPr>
          <w:sz w:val="28"/>
          <w:szCs w:val="28"/>
          <w:lang w:eastAsia="ru-RU"/>
        </w:rPr>
        <w:t>С</w:t>
      </w:r>
      <w:r w:rsidR="00D14E0D">
        <w:rPr>
          <w:sz w:val="28"/>
          <w:szCs w:val="28"/>
          <w:lang w:eastAsia="ru-RU"/>
        </w:rPr>
        <w:t>.</w:t>
      </w:r>
      <w:r w:rsidR="00987492" w:rsidRPr="00987492">
        <w:rPr>
          <w:sz w:val="28"/>
          <w:szCs w:val="28"/>
          <w:lang w:eastAsia="ru-RU"/>
        </w:rPr>
        <w:t>, яку обрано заступником члена Національної ради за результатами виборів спільноти осіб, які надають сексуальні послуги за винагороду</w:t>
      </w:r>
      <w:r w:rsidR="00F92293">
        <w:rPr>
          <w:sz w:val="28"/>
          <w:szCs w:val="28"/>
          <w:lang w:eastAsia="ru-RU"/>
        </w:rPr>
        <w:t>,</w:t>
      </w:r>
      <w:r w:rsidR="00987492" w:rsidRPr="00987492">
        <w:rPr>
          <w:sz w:val="28"/>
          <w:szCs w:val="28"/>
          <w:lang w:eastAsia="ru-RU"/>
        </w:rPr>
        <w:t xml:space="preserve"> 22 квітня 2017 року</w:t>
      </w:r>
      <w:r w:rsidR="00987492">
        <w:rPr>
          <w:sz w:val="28"/>
          <w:szCs w:val="28"/>
          <w:lang w:eastAsia="ru-RU"/>
        </w:rPr>
        <w:t>.</w:t>
      </w:r>
    </w:p>
    <w:p w14:paraId="0DCCCD10" w14:textId="3778029A" w:rsidR="00987492" w:rsidRPr="0034480B" w:rsidRDefault="00843891" w:rsidP="00AA6129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87492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4</w:t>
      </w:r>
      <w:r w:rsidR="00987492">
        <w:rPr>
          <w:sz w:val="28"/>
          <w:szCs w:val="28"/>
          <w:lang w:eastAsia="ru-RU"/>
        </w:rPr>
        <w:t xml:space="preserve">. </w:t>
      </w:r>
      <w:r w:rsidR="00AA6129" w:rsidRPr="00AA6129">
        <w:rPr>
          <w:sz w:val="28"/>
          <w:szCs w:val="28"/>
          <w:lang w:eastAsia="ru-RU"/>
        </w:rPr>
        <w:t>Доручити МОЗ України як секретаріату Національної ради, що здійснює інформаційне та організаційне забезпечення її діяльності,  оприл</w:t>
      </w:r>
      <w:r w:rsidR="006B24CB">
        <w:rPr>
          <w:sz w:val="28"/>
          <w:szCs w:val="28"/>
          <w:lang w:eastAsia="ru-RU"/>
        </w:rPr>
        <w:t xml:space="preserve">юднити інформацію про </w:t>
      </w:r>
      <w:r w:rsidR="003E4FCC">
        <w:rPr>
          <w:sz w:val="28"/>
          <w:szCs w:val="28"/>
          <w:lang w:eastAsia="ru-RU"/>
        </w:rPr>
        <w:t>прийняті</w:t>
      </w:r>
      <w:r w:rsidR="006B24CB">
        <w:rPr>
          <w:sz w:val="28"/>
          <w:szCs w:val="28"/>
          <w:lang w:eastAsia="ru-RU"/>
        </w:rPr>
        <w:t xml:space="preserve"> Національною радою </w:t>
      </w:r>
      <w:r w:rsidR="003E4FCC">
        <w:rPr>
          <w:sz w:val="28"/>
          <w:szCs w:val="28"/>
          <w:lang w:eastAsia="ru-RU"/>
        </w:rPr>
        <w:t xml:space="preserve">рішення щодо визнання порушення </w:t>
      </w:r>
      <w:r w:rsidR="003E4FCC" w:rsidRPr="003E4FCC">
        <w:rPr>
          <w:sz w:val="28"/>
          <w:szCs w:val="28"/>
          <w:lang w:eastAsia="ru-RU"/>
        </w:rPr>
        <w:t>Пилипенк</w:t>
      </w:r>
      <w:r w:rsidR="003E4FCC">
        <w:rPr>
          <w:sz w:val="28"/>
          <w:szCs w:val="28"/>
          <w:lang w:eastAsia="ru-RU"/>
        </w:rPr>
        <w:t>ом</w:t>
      </w:r>
      <w:r w:rsidR="003E4FCC" w:rsidRPr="003E4FCC">
        <w:rPr>
          <w:sz w:val="28"/>
          <w:szCs w:val="28"/>
          <w:lang w:eastAsia="ru-RU"/>
        </w:rPr>
        <w:t xml:space="preserve"> В.В., </w:t>
      </w:r>
      <w:proofErr w:type="spellStart"/>
      <w:r w:rsidR="003E4FCC" w:rsidRPr="003E4FCC">
        <w:rPr>
          <w:sz w:val="28"/>
          <w:szCs w:val="28"/>
          <w:lang w:eastAsia="ru-RU"/>
        </w:rPr>
        <w:t>Горбасенк</w:t>
      </w:r>
      <w:r w:rsidR="003E4FCC">
        <w:rPr>
          <w:sz w:val="28"/>
          <w:szCs w:val="28"/>
          <w:lang w:eastAsia="ru-RU"/>
        </w:rPr>
        <w:t>ом</w:t>
      </w:r>
      <w:proofErr w:type="spellEnd"/>
      <w:r w:rsidR="003E4FCC" w:rsidRPr="003E4FCC">
        <w:rPr>
          <w:sz w:val="28"/>
          <w:szCs w:val="28"/>
          <w:lang w:eastAsia="ru-RU"/>
        </w:rPr>
        <w:t xml:space="preserve"> І.М. та </w:t>
      </w:r>
      <w:proofErr w:type="spellStart"/>
      <w:r w:rsidR="003E4FCC" w:rsidRPr="003E4FCC">
        <w:rPr>
          <w:sz w:val="28"/>
          <w:szCs w:val="28"/>
          <w:lang w:eastAsia="ru-RU"/>
        </w:rPr>
        <w:t>Дорохово</w:t>
      </w:r>
      <w:r w:rsidR="003E4FCC">
        <w:rPr>
          <w:sz w:val="28"/>
          <w:szCs w:val="28"/>
          <w:lang w:eastAsia="ru-RU"/>
        </w:rPr>
        <w:t>ю</w:t>
      </w:r>
      <w:proofErr w:type="spellEnd"/>
      <w:r w:rsidR="003E4FCC" w:rsidRPr="003E4FCC">
        <w:rPr>
          <w:sz w:val="28"/>
          <w:szCs w:val="28"/>
          <w:lang w:eastAsia="ru-RU"/>
        </w:rPr>
        <w:t xml:space="preserve"> Ю.В. норм Кодексу етики та службової поведінки для членів координаційних механізмів країн</w:t>
      </w:r>
      <w:r w:rsidR="003E4FCC">
        <w:rPr>
          <w:sz w:val="28"/>
          <w:szCs w:val="28"/>
          <w:lang w:eastAsia="ru-RU"/>
        </w:rPr>
        <w:t>, що спричинило припинення їх повноважень як членів Національної ради.</w:t>
      </w:r>
    </w:p>
    <w:p w14:paraId="286DD71A" w14:textId="77777777" w:rsidR="008C3E39" w:rsidRPr="0034480B" w:rsidRDefault="008C3E39" w:rsidP="008C3E39">
      <w:pPr>
        <w:pStyle w:val="a3"/>
        <w:tabs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  <w:lang w:eastAsia="ru-RU"/>
        </w:rPr>
      </w:pPr>
    </w:p>
    <w:p w14:paraId="18E1C2FC" w14:textId="4992D4D7" w:rsidR="008C3E39" w:rsidRPr="008C3E39" w:rsidRDefault="00843891" w:rsidP="008C3E39">
      <w:pPr>
        <w:pStyle w:val="a3"/>
        <w:tabs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8C3E39">
        <w:rPr>
          <w:b/>
          <w:sz w:val="28"/>
          <w:szCs w:val="28"/>
          <w:lang w:eastAsia="ru-RU"/>
        </w:rPr>
        <w:t xml:space="preserve">. Про стан виконання у 2017 році плану заходів виконання Стратегії забезпечення сталої відповіді на епідемії туберкульозу, в тому числі </w:t>
      </w:r>
      <w:proofErr w:type="spellStart"/>
      <w:r w:rsidR="008C3E39">
        <w:rPr>
          <w:b/>
          <w:sz w:val="28"/>
          <w:szCs w:val="28"/>
          <w:lang w:eastAsia="ru-RU"/>
        </w:rPr>
        <w:t>хіміорезистентного</w:t>
      </w:r>
      <w:proofErr w:type="spellEnd"/>
      <w:r w:rsidR="008C3E39">
        <w:rPr>
          <w:b/>
          <w:sz w:val="28"/>
          <w:szCs w:val="28"/>
          <w:lang w:eastAsia="ru-RU"/>
        </w:rPr>
        <w:t>, та ВІЛ-інфекції/СНІДу на період до 2020 року, спрямован</w:t>
      </w:r>
      <w:r w:rsidR="00F92293">
        <w:rPr>
          <w:b/>
          <w:sz w:val="28"/>
          <w:szCs w:val="28"/>
          <w:lang w:eastAsia="ru-RU"/>
        </w:rPr>
        <w:t>ого</w:t>
      </w:r>
      <w:r w:rsidR="008C3E39">
        <w:rPr>
          <w:b/>
          <w:sz w:val="28"/>
          <w:szCs w:val="28"/>
          <w:lang w:eastAsia="ru-RU"/>
        </w:rPr>
        <w:t xml:space="preserve"> на  виконання зобов’язань України щодо поступового переходу фінансування (План 20-50-80) програм Глобального фонду на бюджетне фінансування</w:t>
      </w:r>
      <w:r w:rsidR="008C3E39" w:rsidRPr="008C3E39">
        <w:rPr>
          <w:b/>
          <w:sz w:val="28"/>
          <w:szCs w:val="28"/>
          <w:lang w:eastAsia="ru-RU"/>
        </w:rPr>
        <w:t>:</w:t>
      </w:r>
    </w:p>
    <w:p w14:paraId="7C88A50F" w14:textId="1119487E" w:rsidR="00AE090E" w:rsidRDefault="00843891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E090E" w:rsidRPr="00573EAA">
        <w:rPr>
          <w:sz w:val="28"/>
          <w:szCs w:val="28"/>
          <w:lang w:eastAsia="ru-RU"/>
        </w:rPr>
        <w:t>.1.</w:t>
      </w:r>
      <w:r w:rsidR="00AE090E">
        <w:rPr>
          <w:b/>
          <w:sz w:val="28"/>
          <w:szCs w:val="28"/>
          <w:lang w:eastAsia="ru-RU"/>
        </w:rPr>
        <w:t xml:space="preserve"> </w:t>
      </w:r>
      <w:r w:rsidR="00AE090E" w:rsidRPr="00573EAA">
        <w:rPr>
          <w:sz w:val="28"/>
          <w:szCs w:val="28"/>
          <w:lang w:eastAsia="ru-RU"/>
        </w:rPr>
        <w:t xml:space="preserve">Інформацію про стан виконання у 2017 році плану заходів виконання Стратегії забезпечення сталої відповіді на епідемії туберкульозу, в тому числі </w:t>
      </w:r>
      <w:proofErr w:type="spellStart"/>
      <w:r w:rsidR="00AE090E" w:rsidRPr="00573EAA">
        <w:rPr>
          <w:sz w:val="28"/>
          <w:szCs w:val="28"/>
          <w:lang w:eastAsia="ru-RU"/>
        </w:rPr>
        <w:t>хіміорезистентного</w:t>
      </w:r>
      <w:proofErr w:type="spellEnd"/>
      <w:r w:rsidR="00AE090E" w:rsidRPr="00573EAA">
        <w:rPr>
          <w:sz w:val="28"/>
          <w:szCs w:val="28"/>
          <w:lang w:eastAsia="ru-RU"/>
        </w:rPr>
        <w:t>, та ВІЛ-інфекції/СНІДу на період до 2020 року, спрямован</w:t>
      </w:r>
      <w:r w:rsidR="00F92293">
        <w:rPr>
          <w:sz w:val="28"/>
          <w:szCs w:val="28"/>
          <w:lang w:eastAsia="ru-RU"/>
        </w:rPr>
        <w:t>ого</w:t>
      </w:r>
      <w:r w:rsidR="00AE090E" w:rsidRPr="00573EAA">
        <w:rPr>
          <w:sz w:val="28"/>
          <w:szCs w:val="28"/>
          <w:lang w:eastAsia="ru-RU"/>
        </w:rPr>
        <w:t xml:space="preserve"> на  виконання зобов’язань України щодо поступового переходу фінансування (План 20-50-80) програм Глобального фонду на бюджетне фінансування</w:t>
      </w:r>
      <w:r w:rsidR="00F92293">
        <w:rPr>
          <w:sz w:val="28"/>
          <w:szCs w:val="28"/>
          <w:lang w:eastAsia="ru-RU"/>
        </w:rPr>
        <w:t xml:space="preserve">, </w:t>
      </w:r>
      <w:r w:rsidR="00AE090E">
        <w:rPr>
          <w:sz w:val="28"/>
          <w:szCs w:val="28"/>
          <w:lang w:eastAsia="ru-RU"/>
        </w:rPr>
        <w:t>взяти до відома.</w:t>
      </w:r>
    </w:p>
    <w:p w14:paraId="2131233E" w14:textId="348BEDEA" w:rsidR="00AE090E" w:rsidRDefault="00843891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E090E">
        <w:rPr>
          <w:sz w:val="28"/>
          <w:szCs w:val="28"/>
          <w:lang w:eastAsia="ru-RU"/>
        </w:rPr>
        <w:t>.2. ДУ «Центр громадського здоров</w:t>
      </w:r>
      <w:r w:rsidR="00AE090E" w:rsidRPr="006C547E">
        <w:rPr>
          <w:sz w:val="28"/>
          <w:szCs w:val="28"/>
          <w:lang w:eastAsia="ru-RU"/>
        </w:rPr>
        <w:t>’</w:t>
      </w:r>
      <w:r w:rsidR="00AE090E">
        <w:rPr>
          <w:sz w:val="28"/>
          <w:szCs w:val="28"/>
          <w:lang w:eastAsia="ru-RU"/>
        </w:rPr>
        <w:t xml:space="preserve">я МОЗ України» забезпечити в установленому порядку </w:t>
      </w:r>
      <w:r w:rsidR="00AE090E" w:rsidRPr="006C547E">
        <w:rPr>
          <w:sz w:val="28"/>
          <w:szCs w:val="28"/>
          <w:lang w:eastAsia="ru-RU"/>
        </w:rPr>
        <w:t>розробк</w:t>
      </w:r>
      <w:r w:rsidR="00AE090E">
        <w:rPr>
          <w:sz w:val="28"/>
          <w:szCs w:val="28"/>
          <w:lang w:eastAsia="ru-RU"/>
        </w:rPr>
        <w:t>у</w:t>
      </w:r>
      <w:r w:rsidR="00AE090E" w:rsidRPr="006C547E">
        <w:rPr>
          <w:sz w:val="28"/>
          <w:szCs w:val="28"/>
          <w:lang w:eastAsia="ru-RU"/>
        </w:rPr>
        <w:t xml:space="preserve"> та затвердження </w:t>
      </w:r>
      <w:r w:rsidR="00AE090E">
        <w:rPr>
          <w:sz w:val="28"/>
          <w:szCs w:val="28"/>
          <w:lang w:eastAsia="ru-RU"/>
        </w:rPr>
        <w:t xml:space="preserve">відповідних </w:t>
      </w:r>
      <w:r w:rsidR="00AE090E" w:rsidRPr="006C547E">
        <w:rPr>
          <w:sz w:val="28"/>
          <w:szCs w:val="28"/>
          <w:lang w:eastAsia="ru-RU"/>
        </w:rPr>
        <w:t xml:space="preserve">документів та механізмів </w:t>
      </w:r>
      <w:r w:rsidR="00AE090E">
        <w:rPr>
          <w:sz w:val="28"/>
          <w:szCs w:val="28"/>
          <w:lang w:eastAsia="ru-RU"/>
        </w:rPr>
        <w:t>щодо</w:t>
      </w:r>
      <w:r w:rsidR="00AE090E" w:rsidRPr="006C547E">
        <w:rPr>
          <w:sz w:val="28"/>
          <w:szCs w:val="28"/>
          <w:lang w:eastAsia="ru-RU"/>
        </w:rPr>
        <w:t xml:space="preserve"> </w:t>
      </w:r>
      <w:r w:rsidR="00AE090E" w:rsidRPr="00AF03A2">
        <w:rPr>
          <w:sz w:val="28"/>
          <w:szCs w:val="28"/>
          <w:lang w:eastAsia="ru-RU"/>
        </w:rPr>
        <w:t>сталого фінансування та посиле</w:t>
      </w:r>
      <w:r w:rsidR="00AE090E">
        <w:rPr>
          <w:sz w:val="28"/>
          <w:szCs w:val="28"/>
          <w:lang w:eastAsia="ru-RU"/>
        </w:rPr>
        <w:t xml:space="preserve">ння організаційної спроможності, </w:t>
      </w:r>
      <w:r w:rsidR="00AE090E" w:rsidRPr="006C547E">
        <w:rPr>
          <w:sz w:val="28"/>
          <w:szCs w:val="28"/>
          <w:lang w:eastAsia="ru-RU"/>
        </w:rPr>
        <w:t>інституалізації послуг та переходу до другої фази реалізації Плану 20-50-80 у 2019 році</w:t>
      </w:r>
      <w:r w:rsidR="00AE090E">
        <w:rPr>
          <w:sz w:val="28"/>
          <w:szCs w:val="28"/>
          <w:lang w:eastAsia="ru-RU"/>
        </w:rPr>
        <w:t>, а саме:</w:t>
      </w:r>
    </w:p>
    <w:p w14:paraId="7521BF7C" w14:textId="002353E8" w:rsidR="00AE090E" w:rsidRPr="006C547E" w:rsidRDefault="00AE090E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 w:rsidRPr="006C547E">
        <w:rPr>
          <w:sz w:val="28"/>
          <w:szCs w:val="28"/>
          <w:lang w:eastAsia="ru-RU"/>
        </w:rPr>
        <w:t>1)</w:t>
      </w:r>
      <w:r w:rsidRPr="006C547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п</w:t>
      </w:r>
      <w:r w:rsidRPr="006C547E">
        <w:rPr>
          <w:sz w:val="28"/>
          <w:szCs w:val="28"/>
          <w:lang w:eastAsia="ru-RU"/>
        </w:rPr>
        <w:t>орядк</w:t>
      </w:r>
      <w:r>
        <w:rPr>
          <w:sz w:val="28"/>
          <w:szCs w:val="28"/>
          <w:lang w:eastAsia="ru-RU"/>
        </w:rPr>
        <w:t>ів надання послуг</w:t>
      </w:r>
      <w:r w:rsidRPr="006C547E">
        <w:rPr>
          <w:sz w:val="28"/>
          <w:szCs w:val="28"/>
          <w:lang w:eastAsia="ru-RU"/>
        </w:rPr>
        <w:t xml:space="preserve"> за трьома напрямами, що включатимуть визначення</w:t>
      </w:r>
      <w:r>
        <w:rPr>
          <w:sz w:val="28"/>
          <w:szCs w:val="28"/>
          <w:lang w:eastAsia="ru-RU"/>
        </w:rPr>
        <w:t xml:space="preserve"> поняття послуг громадського здоров’я, опис базових пакетів послуг</w:t>
      </w:r>
      <w:r w:rsidRPr="006C547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на основі яких буде проведено розрахунки вартості послуг</w:t>
      </w:r>
      <w:r w:rsidRPr="006C547E">
        <w:rPr>
          <w:sz w:val="28"/>
          <w:szCs w:val="28"/>
          <w:lang w:eastAsia="ru-RU"/>
        </w:rPr>
        <w:t>, базові кваліфікаційні вимоги до надавачів послуг, переліку послуг, надання яких заохочу</w:t>
      </w:r>
      <w:r w:rsidR="00F92293">
        <w:rPr>
          <w:sz w:val="28"/>
          <w:szCs w:val="28"/>
          <w:lang w:eastAsia="ru-RU"/>
        </w:rPr>
        <w:t>ватиметься</w:t>
      </w:r>
      <w:r w:rsidRPr="006C547E">
        <w:rPr>
          <w:sz w:val="28"/>
          <w:szCs w:val="28"/>
          <w:lang w:eastAsia="ru-RU"/>
        </w:rPr>
        <w:t xml:space="preserve"> </w:t>
      </w:r>
      <w:proofErr w:type="spellStart"/>
      <w:r w:rsidRPr="006C547E">
        <w:rPr>
          <w:sz w:val="28"/>
          <w:szCs w:val="28"/>
          <w:lang w:eastAsia="ru-RU"/>
        </w:rPr>
        <w:t>компліментарно</w:t>
      </w:r>
      <w:proofErr w:type="spellEnd"/>
      <w:r w:rsidRPr="006C547E">
        <w:rPr>
          <w:sz w:val="28"/>
          <w:szCs w:val="28"/>
          <w:lang w:eastAsia="ru-RU"/>
        </w:rPr>
        <w:t xml:space="preserve"> до базового пакет</w:t>
      </w:r>
      <w:r w:rsidR="00F92293">
        <w:rPr>
          <w:sz w:val="28"/>
          <w:szCs w:val="28"/>
          <w:lang w:eastAsia="ru-RU"/>
        </w:rPr>
        <w:t>а</w:t>
      </w:r>
      <w:r w:rsidRPr="006C547E">
        <w:rPr>
          <w:sz w:val="28"/>
          <w:szCs w:val="28"/>
          <w:lang w:eastAsia="ru-RU"/>
        </w:rPr>
        <w:t xml:space="preserve"> за рахунок інших джерел фінансування, опис базових моделей та алгоритмів надання послуг, ключових індикаторів ефективності програм та механізмів їх моніторингу;</w:t>
      </w:r>
    </w:p>
    <w:p w14:paraId="2ABC0091" w14:textId="6B2160F7" w:rsidR="00AE090E" w:rsidRPr="006C547E" w:rsidRDefault="00AE090E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 w:rsidRPr="006C547E">
        <w:rPr>
          <w:sz w:val="28"/>
          <w:szCs w:val="28"/>
          <w:lang w:eastAsia="ru-RU"/>
        </w:rPr>
        <w:lastRenderedPageBreak/>
        <w:t>2)</w:t>
      </w:r>
      <w:r w:rsidRPr="006C547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м</w:t>
      </w:r>
      <w:r w:rsidRPr="006C547E">
        <w:rPr>
          <w:sz w:val="28"/>
          <w:szCs w:val="28"/>
          <w:lang w:eastAsia="ru-RU"/>
        </w:rPr>
        <w:t xml:space="preserve">етодики розрахунку потреб у відповідних послугах на основі доказових даних та стратегічних цілей щодо протидії ВІЛ та </w:t>
      </w:r>
      <w:r w:rsidR="000D7053">
        <w:rPr>
          <w:sz w:val="28"/>
          <w:szCs w:val="28"/>
          <w:lang w:eastAsia="ru-RU"/>
        </w:rPr>
        <w:t>туберкульозу</w:t>
      </w:r>
      <w:r w:rsidRPr="006C547E">
        <w:rPr>
          <w:sz w:val="28"/>
          <w:szCs w:val="28"/>
          <w:lang w:eastAsia="ru-RU"/>
        </w:rPr>
        <w:t>;</w:t>
      </w:r>
    </w:p>
    <w:p w14:paraId="096E92B8" w14:textId="7C704AF5" w:rsidR="00AE090E" w:rsidRPr="006C547E" w:rsidRDefault="00AE090E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 w:rsidRPr="006C547E">
        <w:rPr>
          <w:sz w:val="28"/>
          <w:szCs w:val="28"/>
          <w:lang w:eastAsia="ru-RU"/>
        </w:rPr>
        <w:t>3)</w:t>
      </w:r>
      <w:r w:rsidRPr="006C547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т</w:t>
      </w:r>
      <w:r w:rsidRPr="006C547E">
        <w:rPr>
          <w:sz w:val="28"/>
          <w:szCs w:val="28"/>
          <w:lang w:eastAsia="ru-RU"/>
        </w:rPr>
        <w:t>арифікаці</w:t>
      </w:r>
      <w:r w:rsidR="00F92293">
        <w:rPr>
          <w:sz w:val="28"/>
          <w:szCs w:val="28"/>
          <w:lang w:eastAsia="ru-RU"/>
        </w:rPr>
        <w:t>ї</w:t>
      </w:r>
      <w:r w:rsidRPr="006C547E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>артості послуг</w:t>
      </w:r>
      <w:r w:rsidRPr="0025245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основі </w:t>
      </w:r>
      <w:r w:rsidRPr="006C547E">
        <w:rPr>
          <w:sz w:val="28"/>
          <w:szCs w:val="28"/>
          <w:lang w:eastAsia="ru-RU"/>
        </w:rPr>
        <w:t>хронометраж</w:t>
      </w:r>
      <w:r>
        <w:rPr>
          <w:sz w:val="28"/>
          <w:szCs w:val="28"/>
          <w:lang w:eastAsia="ru-RU"/>
        </w:rPr>
        <w:t>у</w:t>
      </w:r>
      <w:r w:rsidRPr="006C547E">
        <w:rPr>
          <w:sz w:val="28"/>
          <w:szCs w:val="28"/>
          <w:lang w:eastAsia="ru-RU"/>
        </w:rPr>
        <w:t xml:space="preserve"> витрачених </w:t>
      </w:r>
      <w:r>
        <w:rPr>
          <w:sz w:val="28"/>
          <w:szCs w:val="28"/>
          <w:lang w:eastAsia="ru-RU"/>
        </w:rPr>
        <w:t>людських ресурсів, періодичності надання</w:t>
      </w:r>
      <w:r w:rsidRPr="006C547E">
        <w:rPr>
          <w:sz w:val="28"/>
          <w:szCs w:val="28"/>
          <w:lang w:eastAsia="ru-RU"/>
        </w:rPr>
        <w:t xml:space="preserve"> послуг, витратних матеріалів та можлив</w:t>
      </w:r>
      <w:r w:rsidR="00F92293">
        <w:rPr>
          <w:sz w:val="28"/>
          <w:szCs w:val="28"/>
          <w:lang w:eastAsia="ru-RU"/>
        </w:rPr>
        <w:t>их</w:t>
      </w:r>
      <w:r w:rsidRPr="006C547E">
        <w:rPr>
          <w:sz w:val="28"/>
          <w:szCs w:val="28"/>
          <w:lang w:eastAsia="ru-RU"/>
        </w:rPr>
        <w:t xml:space="preserve"> коефіцієнт</w:t>
      </w:r>
      <w:r w:rsidR="00F92293">
        <w:rPr>
          <w:sz w:val="28"/>
          <w:szCs w:val="28"/>
          <w:lang w:eastAsia="ru-RU"/>
        </w:rPr>
        <w:t>ів</w:t>
      </w:r>
      <w:r w:rsidRPr="006C547E">
        <w:rPr>
          <w:sz w:val="28"/>
          <w:szCs w:val="28"/>
          <w:lang w:eastAsia="ru-RU"/>
        </w:rPr>
        <w:t>, що будуть застосовуватись при бюджетному плануванні;</w:t>
      </w:r>
    </w:p>
    <w:p w14:paraId="71FF60BA" w14:textId="776C0390" w:rsidR="00AE090E" w:rsidRDefault="00AE090E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 w:rsidRPr="006C547E">
        <w:rPr>
          <w:sz w:val="28"/>
          <w:szCs w:val="28"/>
          <w:lang w:eastAsia="ru-RU"/>
        </w:rPr>
        <w:t>4)</w:t>
      </w:r>
      <w:r w:rsidRPr="006C547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методичн</w:t>
      </w:r>
      <w:r w:rsidR="00F92293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рекомендаці</w:t>
      </w:r>
      <w:r w:rsidR="00F92293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щодо п</w:t>
      </w:r>
      <w:r w:rsidRPr="006C547E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ів</w:t>
      </w:r>
      <w:r w:rsidRPr="006C547E">
        <w:rPr>
          <w:sz w:val="28"/>
          <w:szCs w:val="28"/>
          <w:lang w:eastAsia="ru-RU"/>
        </w:rPr>
        <w:t xml:space="preserve"> типових договорів, оголошень з відбору надавачів послуг, специфікацій та технічних завдань на вироби медичного призначення та витратні матеріали та методичні матеріали щодо організації процесу на основі існуючого досвіду основних реципієнтів Глобального фонду, провайдерів послуг</w:t>
      </w:r>
      <w:r>
        <w:rPr>
          <w:sz w:val="28"/>
          <w:szCs w:val="28"/>
          <w:lang w:eastAsia="ru-RU"/>
        </w:rPr>
        <w:t xml:space="preserve"> та пілотних регіонів;</w:t>
      </w:r>
    </w:p>
    <w:p w14:paraId="6D2EAF23" w14:textId="24E69593" w:rsidR="00AE090E" w:rsidRPr="00AF03A2" w:rsidRDefault="00AE090E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AF03A2">
        <w:rPr>
          <w:sz w:val="28"/>
          <w:szCs w:val="28"/>
          <w:lang w:eastAsia="ru-RU"/>
        </w:rPr>
        <w:t>)</w:t>
      </w:r>
      <w:r w:rsidRPr="00AF03A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п</w:t>
      </w:r>
      <w:r w:rsidRPr="00AF03A2">
        <w:rPr>
          <w:sz w:val="28"/>
          <w:szCs w:val="28"/>
          <w:lang w:eastAsia="ru-RU"/>
        </w:rPr>
        <w:t xml:space="preserve">орядку використання бюджетних коштів, який би врегульовував цільове використання коштів на закупівлю послуг профілактики, догляду та підтримки у зв’язку з ВІЛ та </w:t>
      </w:r>
      <w:r w:rsidR="000D7053">
        <w:rPr>
          <w:sz w:val="28"/>
          <w:szCs w:val="28"/>
          <w:lang w:eastAsia="ru-RU"/>
        </w:rPr>
        <w:t>туберкульозом</w:t>
      </w:r>
      <w:r w:rsidRPr="00AF03A2">
        <w:rPr>
          <w:sz w:val="28"/>
          <w:szCs w:val="28"/>
          <w:lang w:eastAsia="ru-RU"/>
        </w:rPr>
        <w:t>;</w:t>
      </w:r>
    </w:p>
    <w:p w14:paraId="3301BD63" w14:textId="77777777" w:rsidR="00AE090E" w:rsidRPr="00AF03A2" w:rsidRDefault="00AE090E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AF03A2">
        <w:rPr>
          <w:sz w:val="28"/>
          <w:szCs w:val="28"/>
          <w:lang w:eastAsia="ru-RU"/>
        </w:rPr>
        <w:t>)</w:t>
      </w:r>
      <w:r w:rsidRPr="00AF03A2">
        <w:rPr>
          <w:sz w:val="28"/>
          <w:szCs w:val="28"/>
          <w:lang w:eastAsia="ru-RU"/>
        </w:rPr>
        <w:tab/>
        <w:t>змін до паспортів бюджетних програм з метою забезпечення фінансування у 2019 році;</w:t>
      </w:r>
    </w:p>
    <w:p w14:paraId="64CB598D" w14:textId="5E3AED6E" w:rsidR="00AE090E" w:rsidRDefault="00AE090E" w:rsidP="00AE090E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AF03A2">
        <w:rPr>
          <w:sz w:val="28"/>
          <w:szCs w:val="28"/>
          <w:lang w:eastAsia="ru-RU"/>
        </w:rPr>
        <w:t>)</w:t>
      </w:r>
      <w:r w:rsidRPr="00AF03A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т</w:t>
      </w:r>
      <w:r w:rsidRPr="00AF03A2">
        <w:rPr>
          <w:sz w:val="28"/>
          <w:szCs w:val="28"/>
          <w:lang w:eastAsia="ru-RU"/>
        </w:rPr>
        <w:t xml:space="preserve">ипового положення та структури регіонального центру громадського здоров’я з метою уникнення дублювання функцій громадського здоров’я, в тому числі тих, що пов’язані з ВІЛ та </w:t>
      </w:r>
      <w:r w:rsidR="000D7053">
        <w:rPr>
          <w:sz w:val="28"/>
          <w:szCs w:val="28"/>
          <w:lang w:eastAsia="ru-RU"/>
        </w:rPr>
        <w:t>туберкульозом</w:t>
      </w:r>
      <w:r>
        <w:rPr>
          <w:sz w:val="28"/>
          <w:szCs w:val="28"/>
          <w:lang w:eastAsia="ru-RU"/>
        </w:rPr>
        <w:t>,</w:t>
      </w:r>
      <w:r w:rsidRPr="00AF03A2">
        <w:rPr>
          <w:sz w:val="28"/>
          <w:szCs w:val="28"/>
          <w:lang w:eastAsia="ru-RU"/>
        </w:rPr>
        <w:t xml:space="preserve"> та </w:t>
      </w:r>
      <w:r>
        <w:rPr>
          <w:sz w:val="28"/>
          <w:szCs w:val="28"/>
          <w:lang w:eastAsia="ru-RU"/>
        </w:rPr>
        <w:t>формування</w:t>
      </w:r>
      <w:r w:rsidRPr="00AF03A2">
        <w:rPr>
          <w:sz w:val="28"/>
          <w:szCs w:val="28"/>
          <w:lang w:eastAsia="ru-RU"/>
        </w:rPr>
        <w:t xml:space="preserve"> дієвих механізмів планування та моніторингу виконання завдань та заходів.</w:t>
      </w:r>
    </w:p>
    <w:p w14:paraId="68376736" w14:textId="77777777" w:rsidR="00AE090E" w:rsidRPr="00AF03A2" w:rsidRDefault="00AE090E" w:rsidP="00AE090E">
      <w:pPr>
        <w:tabs>
          <w:tab w:val="left" w:pos="284"/>
          <w:tab w:val="left" w:pos="426"/>
        </w:tabs>
        <w:ind w:firstLine="426"/>
        <w:jc w:val="right"/>
        <w:rPr>
          <w:i/>
          <w:sz w:val="28"/>
          <w:szCs w:val="28"/>
          <w:lang w:eastAsia="ru-RU"/>
        </w:rPr>
      </w:pPr>
      <w:r w:rsidRPr="00AF03A2">
        <w:rPr>
          <w:i/>
          <w:sz w:val="28"/>
          <w:szCs w:val="28"/>
          <w:lang w:eastAsia="ru-RU"/>
        </w:rPr>
        <w:t>грудень 2018 року.</w:t>
      </w:r>
    </w:p>
    <w:p w14:paraId="66B06077" w14:textId="77777777" w:rsidR="00573EAA" w:rsidRPr="00573EAA" w:rsidRDefault="00573EAA" w:rsidP="008C3E39">
      <w:pPr>
        <w:tabs>
          <w:tab w:val="left" w:pos="284"/>
          <w:tab w:val="left" w:pos="426"/>
        </w:tabs>
        <w:ind w:firstLine="426"/>
        <w:jc w:val="both"/>
        <w:rPr>
          <w:sz w:val="28"/>
          <w:szCs w:val="28"/>
          <w:lang w:eastAsia="ru-RU"/>
        </w:rPr>
      </w:pPr>
    </w:p>
    <w:p w14:paraId="501C232E" w14:textId="77777777" w:rsidR="008C3E39" w:rsidRPr="00A734BC" w:rsidRDefault="008C3E39" w:rsidP="008C3E3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eastAsia="ru-RU"/>
        </w:rPr>
      </w:pPr>
    </w:p>
    <w:p w14:paraId="627E874E" w14:textId="442C10FA" w:rsidR="008C3E39" w:rsidRDefault="00843891" w:rsidP="008C3E39">
      <w:pPr>
        <w:tabs>
          <w:tab w:val="left" w:pos="0"/>
          <w:tab w:val="left" w:pos="284"/>
        </w:tabs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5</w:t>
      </w:r>
      <w:r w:rsidR="008C3E39">
        <w:rPr>
          <w:b/>
          <w:sz w:val="28"/>
          <w:szCs w:val="28"/>
          <w:lang w:eastAsia="ru-RU"/>
        </w:rPr>
        <w:t>. Про результати наглядової діяльності Національної ради за реалізацією грантів Глобального фонду протягом першого півріччя 2018 ро</w:t>
      </w:r>
      <w:r w:rsidR="00F36DB8">
        <w:rPr>
          <w:b/>
          <w:sz w:val="28"/>
          <w:szCs w:val="28"/>
          <w:lang w:eastAsia="ru-RU"/>
        </w:rPr>
        <w:t>ку</w:t>
      </w:r>
      <w:r w:rsidR="00F36DB8" w:rsidRPr="00F36DB8">
        <w:rPr>
          <w:b/>
          <w:sz w:val="28"/>
          <w:szCs w:val="28"/>
          <w:lang w:val="ru-RU" w:eastAsia="ru-RU"/>
        </w:rPr>
        <w:t>:</w:t>
      </w:r>
    </w:p>
    <w:p w14:paraId="2CA38DE6" w14:textId="4B6FDE7C" w:rsidR="00490A92" w:rsidRDefault="00843891" w:rsidP="008C3E3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90A92" w:rsidRPr="00490A92">
        <w:rPr>
          <w:sz w:val="28"/>
          <w:szCs w:val="28"/>
          <w:lang w:eastAsia="ru-RU"/>
        </w:rPr>
        <w:t>.1. Інформацію про результати наглядової діяльності Національної ради за реалізацією грантів Глобального фонду протягом першого півріччя 2018 року взяти до відома.</w:t>
      </w:r>
    </w:p>
    <w:p w14:paraId="037ADBC6" w14:textId="06E1FC01" w:rsidR="00D35D0F" w:rsidRDefault="00843891" w:rsidP="00D35D0F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90A92">
        <w:rPr>
          <w:sz w:val="28"/>
          <w:szCs w:val="28"/>
          <w:lang w:eastAsia="ru-RU"/>
        </w:rPr>
        <w:t>.2.</w:t>
      </w:r>
      <w:r w:rsidR="00D35D0F">
        <w:rPr>
          <w:sz w:val="28"/>
          <w:szCs w:val="28"/>
          <w:lang w:eastAsia="ru-RU"/>
        </w:rPr>
        <w:t xml:space="preserve"> </w:t>
      </w:r>
      <w:r w:rsidR="00D35D0F" w:rsidRPr="00D35D0F">
        <w:rPr>
          <w:sz w:val="28"/>
          <w:szCs w:val="28"/>
          <w:lang w:eastAsia="ru-RU"/>
        </w:rPr>
        <w:t>Рекомендувати ДУ «Центр громадського здоров’я МОЗ України» в рамках впровадження єдиного кодування клієнтів профілактичних програм та отримувачів медичних послуг</w:t>
      </w:r>
      <w:r w:rsidR="00D35D0F">
        <w:rPr>
          <w:sz w:val="28"/>
          <w:szCs w:val="28"/>
          <w:lang w:eastAsia="ru-RU"/>
        </w:rPr>
        <w:t>:</w:t>
      </w:r>
    </w:p>
    <w:p w14:paraId="4529C1A6" w14:textId="102376E5" w:rsidR="00D35D0F" w:rsidRPr="00D35D0F" w:rsidRDefault="00D35D0F" w:rsidP="00D35D0F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eastAsia="ru-RU"/>
        </w:rPr>
      </w:pPr>
      <w:r w:rsidRPr="00D35D0F">
        <w:rPr>
          <w:sz w:val="28"/>
          <w:szCs w:val="28"/>
          <w:lang w:eastAsia="ru-RU"/>
        </w:rPr>
        <w:t>передбачити застосування алгоритму кодування з урахуванням забезпечення конфіденційності даних клієнтів та анонімності тих із них, хто у</w:t>
      </w:r>
      <w:r>
        <w:rPr>
          <w:sz w:val="28"/>
          <w:szCs w:val="28"/>
          <w:lang w:eastAsia="ru-RU"/>
        </w:rPr>
        <w:t>тримується надати особисті дані;</w:t>
      </w:r>
    </w:p>
    <w:p w14:paraId="07D27CAC" w14:textId="46705D5A" w:rsidR="00DA4926" w:rsidRDefault="00D35D0F" w:rsidP="00DA4926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eastAsia="ru-RU"/>
        </w:rPr>
      </w:pPr>
      <w:r w:rsidRPr="00D35D0F">
        <w:rPr>
          <w:sz w:val="28"/>
          <w:szCs w:val="28"/>
          <w:lang w:eastAsia="ru-RU"/>
        </w:rPr>
        <w:t xml:space="preserve">здійснити низку заходів, націлених на інформаційну підтримку впровадження єдиного кодування клієнтів профілактичних програм та отримувачів медичних послуг за участі партнерських організацій та </w:t>
      </w:r>
      <w:r w:rsidR="00F92293">
        <w:rPr>
          <w:sz w:val="28"/>
          <w:szCs w:val="28"/>
          <w:lang w:eastAsia="ru-RU"/>
        </w:rPr>
        <w:t>представників ключових спільнот.</w:t>
      </w:r>
    </w:p>
    <w:p w14:paraId="727439A3" w14:textId="66347851" w:rsidR="00427FCF" w:rsidRDefault="00843891" w:rsidP="00DA4926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715218" w:rsidRPr="00AE090E">
        <w:rPr>
          <w:sz w:val="28"/>
          <w:szCs w:val="28"/>
          <w:lang w:eastAsia="ru-RU"/>
        </w:rPr>
        <w:t xml:space="preserve">.3. Рекомендувати ДУ «Центр громадського здоров’я МОЗ України» </w:t>
      </w:r>
      <w:r w:rsidR="00FE51E8" w:rsidRPr="00AE090E">
        <w:rPr>
          <w:sz w:val="28"/>
          <w:szCs w:val="28"/>
          <w:lang w:eastAsia="ru-RU"/>
        </w:rPr>
        <w:t xml:space="preserve">розробити </w:t>
      </w:r>
      <w:r w:rsidR="00AE090E">
        <w:rPr>
          <w:sz w:val="28"/>
          <w:szCs w:val="28"/>
          <w:lang w:eastAsia="ru-RU"/>
        </w:rPr>
        <w:t>за підтримки</w:t>
      </w:r>
      <w:r w:rsidR="00DA4926" w:rsidRPr="00AE090E">
        <w:rPr>
          <w:sz w:val="28"/>
          <w:szCs w:val="28"/>
          <w:lang w:eastAsia="ru-RU"/>
        </w:rPr>
        <w:t xml:space="preserve"> БО «Всеукраїнська Мережа ЛЖВ» та МБФ «Альянс громадського здоров’я» </w:t>
      </w:r>
      <w:r w:rsidR="00FE51E8" w:rsidRPr="00AE090E">
        <w:rPr>
          <w:sz w:val="28"/>
          <w:szCs w:val="28"/>
          <w:lang w:eastAsia="ru-RU"/>
        </w:rPr>
        <w:t xml:space="preserve">рекомендації в режимі онлайн-курсу, </w:t>
      </w:r>
      <w:proofErr w:type="spellStart"/>
      <w:r w:rsidR="00FE51E8" w:rsidRPr="00AE090E">
        <w:rPr>
          <w:sz w:val="28"/>
          <w:szCs w:val="28"/>
          <w:lang w:eastAsia="ru-RU"/>
        </w:rPr>
        <w:t>вебінару</w:t>
      </w:r>
      <w:proofErr w:type="spellEnd"/>
      <w:r w:rsidR="00FE51E8" w:rsidRPr="00AE090E">
        <w:rPr>
          <w:sz w:val="28"/>
          <w:szCs w:val="28"/>
          <w:lang w:eastAsia="ru-RU"/>
        </w:rPr>
        <w:t xml:space="preserve"> тощо щодо підготовки та надання документів в рамках </w:t>
      </w:r>
      <w:proofErr w:type="spellStart"/>
      <w:r w:rsidR="00FE51E8" w:rsidRPr="00AE090E">
        <w:rPr>
          <w:sz w:val="28"/>
          <w:szCs w:val="28"/>
          <w:lang w:eastAsia="ru-RU"/>
        </w:rPr>
        <w:t>закупівель</w:t>
      </w:r>
      <w:proofErr w:type="spellEnd"/>
      <w:r w:rsidR="00FE51E8" w:rsidRPr="00AE090E">
        <w:rPr>
          <w:sz w:val="28"/>
          <w:szCs w:val="28"/>
          <w:lang w:eastAsia="ru-RU"/>
        </w:rPr>
        <w:t xml:space="preserve"> послуг  за програмою  Глобального фонду через державні механізми (</w:t>
      </w:r>
      <w:proofErr w:type="spellStart"/>
      <w:r w:rsidR="00FE51E8" w:rsidRPr="00AE090E">
        <w:rPr>
          <w:sz w:val="28"/>
          <w:szCs w:val="28"/>
          <w:lang w:eastAsia="ru-RU"/>
        </w:rPr>
        <w:t>ProZorro</w:t>
      </w:r>
      <w:proofErr w:type="spellEnd"/>
      <w:r w:rsidR="00FE51E8" w:rsidRPr="00AE090E">
        <w:rPr>
          <w:sz w:val="28"/>
          <w:szCs w:val="28"/>
          <w:lang w:eastAsia="ru-RU"/>
        </w:rPr>
        <w:t>, зокрема).</w:t>
      </w:r>
    </w:p>
    <w:p w14:paraId="0720C37E" w14:textId="733B48D7" w:rsidR="00E51248" w:rsidRPr="00490A92" w:rsidRDefault="00843891" w:rsidP="00D35D0F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E51248">
        <w:rPr>
          <w:sz w:val="28"/>
          <w:szCs w:val="28"/>
          <w:lang w:eastAsia="ru-RU"/>
        </w:rPr>
        <w:t xml:space="preserve">.4. Схвалити рекомендації Комісії з нагляду </w:t>
      </w:r>
      <w:r w:rsidR="00402D72">
        <w:rPr>
          <w:sz w:val="28"/>
          <w:szCs w:val="28"/>
          <w:lang w:eastAsia="ru-RU"/>
        </w:rPr>
        <w:t xml:space="preserve">Основним реципієнтам грантів Глобального фонду </w:t>
      </w:r>
      <w:r w:rsidR="00E51248">
        <w:rPr>
          <w:sz w:val="28"/>
          <w:szCs w:val="28"/>
          <w:lang w:eastAsia="ru-RU"/>
        </w:rPr>
        <w:t>з</w:t>
      </w:r>
      <w:r w:rsidR="00E51248" w:rsidRPr="00E51248">
        <w:rPr>
          <w:sz w:val="28"/>
          <w:szCs w:val="28"/>
          <w:lang w:eastAsia="ru-RU"/>
        </w:rPr>
        <w:t xml:space="preserve">а результатами візитів </w:t>
      </w:r>
      <w:r w:rsidR="00F92293">
        <w:rPr>
          <w:sz w:val="28"/>
          <w:szCs w:val="28"/>
          <w:lang w:eastAsia="ru-RU"/>
        </w:rPr>
        <w:t xml:space="preserve">з </w:t>
      </w:r>
      <w:r w:rsidR="00E51248" w:rsidRPr="00E51248">
        <w:rPr>
          <w:sz w:val="28"/>
          <w:szCs w:val="28"/>
          <w:lang w:eastAsia="ru-RU"/>
        </w:rPr>
        <w:t>нагляду до організацій-</w:t>
      </w:r>
      <w:proofErr w:type="spellStart"/>
      <w:r w:rsidR="00E51248" w:rsidRPr="00E51248">
        <w:rPr>
          <w:sz w:val="28"/>
          <w:szCs w:val="28"/>
          <w:lang w:eastAsia="ru-RU"/>
        </w:rPr>
        <w:lastRenderedPageBreak/>
        <w:t>суб</w:t>
      </w:r>
      <w:r w:rsidR="00F92293">
        <w:rPr>
          <w:sz w:val="28"/>
          <w:szCs w:val="28"/>
          <w:lang w:eastAsia="ru-RU"/>
        </w:rPr>
        <w:t>реципієнтів</w:t>
      </w:r>
      <w:proofErr w:type="spellEnd"/>
      <w:r w:rsidR="00DA4926">
        <w:rPr>
          <w:sz w:val="28"/>
          <w:szCs w:val="28"/>
          <w:lang w:eastAsia="ru-RU"/>
        </w:rPr>
        <w:t xml:space="preserve"> </w:t>
      </w:r>
      <w:r w:rsidR="00E51248" w:rsidRPr="00E51248">
        <w:rPr>
          <w:sz w:val="28"/>
          <w:szCs w:val="28"/>
          <w:lang w:eastAsia="ru-RU"/>
        </w:rPr>
        <w:t xml:space="preserve">БО «Всеукраїнська Мережа ЛЖВ» та МБФ «Альянс громадського здоров’я», що впроваджували проекти Глобального фонду в </w:t>
      </w:r>
      <w:r w:rsidR="00D90C82">
        <w:rPr>
          <w:sz w:val="28"/>
          <w:szCs w:val="28"/>
          <w:lang w:eastAsia="ru-RU"/>
        </w:rPr>
        <w:t xml:space="preserve">      </w:t>
      </w:r>
      <w:r w:rsidR="00E51248" w:rsidRPr="00E51248">
        <w:rPr>
          <w:sz w:val="28"/>
          <w:szCs w:val="28"/>
          <w:lang w:eastAsia="ru-RU"/>
        </w:rPr>
        <w:t>2015</w:t>
      </w:r>
      <w:r w:rsidR="00E51248">
        <w:rPr>
          <w:sz w:val="28"/>
          <w:szCs w:val="28"/>
          <w:lang w:eastAsia="ru-RU"/>
        </w:rPr>
        <w:t xml:space="preserve"> – </w:t>
      </w:r>
      <w:r w:rsidR="00E51248" w:rsidRPr="00E51248">
        <w:rPr>
          <w:sz w:val="28"/>
          <w:szCs w:val="28"/>
          <w:lang w:eastAsia="ru-RU"/>
        </w:rPr>
        <w:t>2017</w:t>
      </w:r>
      <w:r w:rsidR="00E51248">
        <w:rPr>
          <w:sz w:val="28"/>
          <w:szCs w:val="28"/>
          <w:lang w:eastAsia="ru-RU"/>
        </w:rPr>
        <w:t xml:space="preserve"> </w:t>
      </w:r>
      <w:r w:rsidR="00E51248" w:rsidRPr="00E51248">
        <w:rPr>
          <w:sz w:val="28"/>
          <w:szCs w:val="28"/>
          <w:lang w:eastAsia="ru-RU"/>
        </w:rPr>
        <w:t>роках</w:t>
      </w:r>
      <w:r w:rsidR="00E51248">
        <w:rPr>
          <w:sz w:val="28"/>
          <w:szCs w:val="28"/>
          <w:lang w:eastAsia="ru-RU"/>
        </w:rPr>
        <w:t xml:space="preserve">, </w:t>
      </w:r>
      <w:r w:rsidR="00E51248" w:rsidRPr="00E51248">
        <w:rPr>
          <w:sz w:val="28"/>
          <w:szCs w:val="28"/>
          <w:lang w:eastAsia="ru-RU"/>
        </w:rPr>
        <w:t xml:space="preserve"> </w:t>
      </w:r>
      <w:r w:rsidR="000D7053">
        <w:rPr>
          <w:sz w:val="28"/>
          <w:szCs w:val="28"/>
          <w:lang w:eastAsia="ru-RU"/>
        </w:rPr>
        <w:t>які</w:t>
      </w:r>
      <w:r w:rsidR="00E51248">
        <w:rPr>
          <w:sz w:val="28"/>
          <w:szCs w:val="28"/>
          <w:lang w:eastAsia="ru-RU"/>
        </w:rPr>
        <w:t xml:space="preserve"> додаються.</w:t>
      </w:r>
    </w:p>
    <w:p w14:paraId="11C76830" w14:textId="77777777" w:rsidR="008C3E39" w:rsidRDefault="008C3E39" w:rsidP="008C3E39">
      <w:pPr>
        <w:tabs>
          <w:tab w:val="left" w:pos="0"/>
          <w:tab w:val="left" w:pos="851"/>
          <w:tab w:val="left" w:pos="1980"/>
        </w:tabs>
        <w:ind w:firstLine="567"/>
        <w:jc w:val="both"/>
        <w:rPr>
          <w:b/>
          <w:sz w:val="28"/>
          <w:szCs w:val="28"/>
          <w:lang w:eastAsia="ru-RU"/>
        </w:rPr>
      </w:pPr>
    </w:p>
    <w:p w14:paraId="29F4BF33" w14:textId="187047C8" w:rsidR="008C3E39" w:rsidRDefault="00843891" w:rsidP="008C3E39">
      <w:pPr>
        <w:tabs>
          <w:tab w:val="left" w:pos="0"/>
          <w:tab w:val="left" w:pos="851"/>
          <w:tab w:val="left" w:pos="1980"/>
        </w:tabs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8C3E39">
        <w:rPr>
          <w:b/>
          <w:sz w:val="28"/>
          <w:szCs w:val="28"/>
          <w:lang w:eastAsia="ru-RU"/>
        </w:rPr>
        <w:t>. Різне:</w:t>
      </w:r>
    </w:p>
    <w:p w14:paraId="3009CC0A" w14:textId="77777777" w:rsidR="0042398A" w:rsidRDefault="0042398A" w:rsidP="00D90C82">
      <w:pPr>
        <w:tabs>
          <w:tab w:val="left" w:pos="0"/>
          <w:tab w:val="left" w:pos="284"/>
        </w:tabs>
        <w:ind w:firstLine="567"/>
        <w:jc w:val="both"/>
        <w:rPr>
          <w:b/>
          <w:sz w:val="28"/>
          <w:szCs w:val="28"/>
          <w:lang w:eastAsia="ru-RU"/>
        </w:rPr>
      </w:pPr>
    </w:p>
    <w:p w14:paraId="49FABC54" w14:textId="3818F207" w:rsidR="00843891" w:rsidRPr="00F36DB8" w:rsidRDefault="00843891" w:rsidP="00D90C82">
      <w:pPr>
        <w:tabs>
          <w:tab w:val="left" w:pos="0"/>
          <w:tab w:val="left" w:pos="284"/>
        </w:tabs>
        <w:ind w:firstLine="567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6.</w:t>
      </w:r>
      <w:r w:rsidR="00D90C82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 xml:space="preserve"> Аналіз ризиків та перешкод для впровадження програми Глобального фонду в рамках нових грантів на 2018 – 2020 роки на тимчасово окупованих територіях України та в АР Крим</w:t>
      </w:r>
      <w:r w:rsidRPr="00F36DB8">
        <w:rPr>
          <w:b/>
          <w:sz w:val="28"/>
          <w:szCs w:val="28"/>
          <w:lang w:val="ru-RU" w:eastAsia="ru-RU"/>
        </w:rPr>
        <w:t>:</w:t>
      </w:r>
    </w:p>
    <w:p w14:paraId="33BDFCE9" w14:textId="1754CE89" w:rsidR="00843891" w:rsidRDefault="00843891" w:rsidP="00D90C82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</w:t>
      </w:r>
      <w:r w:rsidR="00D90C8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Погодити запропонований механізм реалізації </w:t>
      </w:r>
      <w:r w:rsidRPr="00A734BC">
        <w:rPr>
          <w:sz w:val="28"/>
          <w:szCs w:val="28"/>
          <w:lang w:eastAsia="ru-RU"/>
        </w:rPr>
        <w:t>програм Глобального фонду в рамках нових</w:t>
      </w:r>
      <w:r>
        <w:rPr>
          <w:sz w:val="28"/>
          <w:szCs w:val="28"/>
          <w:lang w:eastAsia="ru-RU"/>
        </w:rPr>
        <w:t xml:space="preserve"> грантів на 2018 – 2020 роки в Автономній Республіці Крим.</w:t>
      </w:r>
    </w:p>
    <w:p w14:paraId="3BC5D8F4" w14:textId="77777777" w:rsidR="00843891" w:rsidRDefault="00843891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b/>
          <w:sz w:val="28"/>
          <w:szCs w:val="28"/>
          <w:lang w:eastAsia="ru-RU"/>
        </w:rPr>
      </w:pPr>
    </w:p>
    <w:p w14:paraId="3495CDBB" w14:textId="087A27B2" w:rsidR="008C3E39" w:rsidRDefault="00843891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8C3E39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2</w:t>
      </w:r>
      <w:r w:rsidR="008C3E39">
        <w:rPr>
          <w:b/>
          <w:sz w:val="28"/>
          <w:szCs w:val="28"/>
          <w:lang w:eastAsia="ru-RU"/>
        </w:rPr>
        <w:t xml:space="preserve">. </w:t>
      </w:r>
      <w:r w:rsidRPr="00843891">
        <w:rPr>
          <w:b/>
          <w:sz w:val="28"/>
          <w:szCs w:val="28"/>
          <w:lang w:eastAsia="ru-RU"/>
        </w:rPr>
        <w:t>Про підготовку участі України до Наради високого рівня Генеральної Асамблеї ООН з туберкульозу</w:t>
      </w:r>
      <w:r w:rsidR="00F36DB8" w:rsidRPr="00F36DB8">
        <w:rPr>
          <w:b/>
          <w:sz w:val="28"/>
          <w:szCs w:val="28"/>
          <w:lang w:eastAsia="ru-RU"/>
        </w:rPr>
        <w:t>:</w:t>
      </w:r>
    </w:p>
    <w:p w14:paraId="67DDDED5" w14:textId="79DE6B95" w:rsidR="00A31FBE" w:rsidRDefault="00843891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31FBE" w:rsidRPr="00A31FB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A31FBE" w:rsidRPr="00A31FBE">
        <w:rPr>
          <w:sz w:val="28"/>
          <w:szCs w:val="28"/>
          <w:lang w:eastAsia="ru-RU"/>
        </w:rPr>
        <w:t xml:space="preserve">.1. </w:t>
      </w:r>
      <w:r w:rsidR="00A31FBE">
        <w:rPr>
          <w:sz w:val="28"/>
          <w:szCs w:val="28"/>
          <w:lang w:eastAsia="ru-RU"/>
        </w:rPr>
        <w:t>Інформацію п</w:t>
      </w:r>
      <w:r w:rsidR="00A31FBE" w:rsidRPr="00A31FBE">
        <w:rPr>
          <w:sz w:val="28"/>
          <w:szCs w:val="28"/>
          <w:lang w:eastAsia="ru-RU"/>
        </w:rPr>
        <w:t>ро підготовку участі України до Наради високого рівня Генеральної Асамблеї ООН з туберкульозу</w:t>
      </w:r>
      <w:r w:rsidR="00A31FBE">
        <w:rPr>
          <w:sz w:val="28"/>
          <w:szCs w:val="28"/>
          <w:lang w:eastAsia="ru-RU"/>
        </w:rPr>
        <w:t xml:space="preserve"> взяти до відома.</w:t>
      </w:r>
    </w:p>
    <w:p w14:paraId="7B2150FC" w14:textId="517F83ED" w:rsidR="00A31FBE" w:rsidRDefault="00843891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31FB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A31FBE">
        <w:rPr>
          <w:sz w:val="28"/>
          <w:szCs w:val="28"/>
          <w:lang w:eastAsia="ru-RU"/>
        </w:rPr>
        <w:t xml:space="preserve">.2. </w:t>
      </w:r>
      <w:r w:rsidR="00D375AB">
        <w:rPr>
          <w:sz w:val="28"/>
          <w:szCs w:val="28"/>
          <w:lang w:eastAsia="ru-RU"/>
        </w:rPr>
        <w:t xml:space="preserve">Погодити </w:t>
      </w:r>
      <w:r w:rsidR="00D51D8F">
        <w:rPr>
          <w:sz w:val="28"/>
          <w:szCs w:val="28"/>
          <w:lang w:eastAsia="ru-RU"/>
        </w:rPr>
        <w:t xml:space="preserve">пропозиції до </w:t>
      </w:r>
      <w:r w:rsidR="000D7053">
        <w:rPr>
          <w:sz w:val="28"/>
          <w:szCs w:val="28"/>
          <w:lang w:eastAsia="ru-RU"/>
        </w:rPr>
        <w:t>проект</w:t>
      </w:r>
      <w:r w:rsidR="00D51D8F">
        <w:rPr>
          <w:sz w:val="28"/>
          <w:szCs w:val="28"/>
          <w:lang w:eastAsia="ru-RU"/>
        </w:rPr>
        <w:t>у</w:t>
      </w:r>
      <w:r w:rsidR="00D375AB">
        <w:rPr>
          <w:sz w:val="28"/>
          <w:szCs w:val="28"/>
          <w:lang w:eastAsia="ru-RU"/>
        </w:rPr>
        <w:t xml:space="preserve"> </w:t>
      </w:r>
      <w:r w:rsidR="00D375AB" w:rsidRPr="00D375AB">
        <w:rPr>
          <w:sz w:val="28"/>
          <w:szCs w:val="28"/>
          <w:lang w:eastAsia="ru-RU"/>
        </w:rPr>
        <w:t xml:space="preserve">консолідованої політичної декларації та рішучих зобов’язань України </w:t>
      </w:r>
      <w:r w:rsidR="000D7053">
        <w:rPr>
          <w:sz w:val="28"/>
          <w:szCs w:val="28"/>
          <w:lang w:eastAsia="ru-RU"/>
        </w:rPr>
        <w:t>щодо</w:t>
      </w:r>
      <w:r w:rsidR="00D375AB" w:rsidRPr="00D375AB">
        <w:rPr>
          <w:sz w:val="28"/>
          <w:szCs w:val="28"/>
          <w:lang w:eastAsia="ru-RU"/>
        </w:rPr>
        <w:t xml:space="preserve"> туберкульозу</w:t>
      </w:r>
      <w:r w:rsidR="00D375AB">
        <w:rPr>
          <w:sz w:val="28"/>
          <w:szCs w:val="28"/>
          <w:lang w:eastAsia="ru-RU"/>
        </w:rPr>
        <w:t>, що додаються.</w:t>
      </w:r>
    </w:p>
    <w:p w14:paraId="07AFD770" w14:textId="631CCAA9" w:rsidR="00D375AB" w:rsidRDefault="00843891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375A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D375AB">
        <w:rPr>
          <w:sz w:val="28"/>
          <w:szCs w:val="28"/>
          <w:lang w:eastAsia="ru-RU"/>
        </w:rPr>
        <w:t xml:space="preserve">.3. </w:t>
      </w:r>
      <w:r w:rsidR="001A3A8F">
        <w:rPr>
          <w:sz w:val="28"/>
          <w:szCs w:val="28"/>
          <w:lang w:eastAsia="ru-RU"/>
        </w:rPr>
        <w:t xml:space="preserve">Погодити </w:t>
      </w:r>
      <w:r w:rsidR="0057464B">
        <w:rPr>
          <w:sz w:val="28"/>
          <w:szCs w:val="28"/>
          <w:lang w:eastAsia="ru-RU"/>
        </w:rPr>
        <w:t xml:space="preserve">запропоновані критерії для відбору кандидатів </w:t>
      </w:r>
      <w:bookmarkStart w:id="3" w:name="_Hlk516129666"/>
      <w:r w:rsidR="00A64846">
        <w:rPr>
          <w:sz w:val="28"/>
          <w:szCs w:val="28"/>
          <w:lang w:eastAsia="ru-RU"/>
        </w:rPr>
        <w:t xml:space="preserve">від громадського сектору </w:t>
      </w:r>
      <w:r w:rsidR="000D7053">
        <w:rPr>
          <w:sz w:val="28"/>
          <w:szCs w:val="28"/>
          <w:lang w:eastAsia="ru-RU"/>
        </w:rPr>
        <w:t>для формування</w:t>
      </w:r>
      <w:r w:rsidR="0057464B">
        <w:rPr>
          <w:sz w:val="28"/>
          <w:szCs w:val="28"/>
          <w:lang w:eastAsia="ru-RU"/>
        </w:rPr>
        <w:t xml:space="preserve"> складу делегації України для участі у </w:t>
      </w:r>
      <w:r w:rsidR="0057464B" w:rsidRPr="0057464B">
        <w:rPr>
          <w:sz w:val="28"/>
          <w:szCs w:val="28"/>
          <w:lang w:eastAsia="ru-RU"/>
        </w:rPr>
        <w:t>Нарад</w:t>
      </w:r>
      <w:r w:rsidR="0057464B">
        <w:rPr>
          <w:sz w:val="28"/>
          <w:szCs w:val="28"/>
          <w:lang w:eastAsia="ru-RU"/>
        </w:rPr>
        <w:t>і</w:t>
      </w:r>
      <w:r w:rsidR="0057464B" w:rsidRPr="0057464B">
        <w:rPr>
          <w:sz w:val="28"/>
          <w:szCs w:val="28"/>
          <w:lang w:eastAsia="ru-RU"/>
        </w:rPr>
        <w:t xml:space="preserve"> високого рівня Генеральної Асамблеї ООН з туберкульозу</w:t>
      </w:r>
      <w:bookmarkEnd w:id="3"/>
      <w:r w:rsidR="0057464B">
        <w:rPr>
          <w:sz w:val="28"/>
          <w:szCs w:val="28"/>
          <w:lang w:eastAsia="ru-RU"/>
        </w:rPr>
        <w:t>.</w:t>
      </w:r>
    </w:p>
    <w:p w14:paraId="3BAA3BD9" w14:textId="09E9997D" w:rsidR="0057464B" w:rsidRPr="00A31FBE" w:rsidRDefault="00843891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57464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57464B">
        <w:rPr>
          <w:sz w:val="28"/>
          <w:szCs w:val="28"/>
          <w:lang w:eastAsia="ru-RU"/>
        </w:rPr>
        <w:t xml:space="preserve">.4. </w:t>
      </w:r>
      <w:r w:rsidR="00561DC3">
        <w:rPr>
          <w:sz w:val="28"/>
          <w:szCs w:val="28"/>
          <w:lang w:eastAsia="ru-RU"/>
        </w:rPr>
        <w:t>Рекомендувати МОЗ спільно з Партнерством «Зупинимо туберкульоз. Україна»</w:t>
      </w:r>
      <w:r w:rsidR="00A64846" w:rsidRPr="00A64846">
        <w:rPr>
          <w:sz w:val="28"/>
          <w:szCs w:val="28"/>
          <w:lang w:eastAsia="ru-RU"/>
        </w:rPr>
        <w:t xml:space="preserve"> </w:t>
      </w:r>
      <w:r w:rsidR="00561DC3">
        <w:rPr>
          <w:sz w:val="28"/>
          <w:szCs w:val="28"/>
          <w:lang w:eastAsia="ru-RU"/>
        </w:rPr>
        <w:t xml:space="preserve">організувати відбір </w:t>
      </w:r>
      <w:r w:rsidR="00A64846" w:rsidRPr="00A64846">
        <w:rPr>
          <w:sz w:val="28"/>
          <w:szCs w:val="28"/>
          <w:lang w:eastAsia="ru-RU"/>
        </w:rPr>
        <w:t xml:space="preserve">кандидатур учасників від громадського сектору </w:t>
      </w:r>
      <w:r w:rsidR="00561DC3">
        <w:rPr>
          <w:sz w:val="28"/>
          <w:szCs w:val="28"/>
          <w:lang w:eastAsia="ru-RU"/>
        </w:rPr>
        <w:t>для включення до</w:t>
      </w:r>
      <w:bookmarkStart w:id="4" w:name="_GoBack"/>
      <w:bookmarkEnd w:id="4"/>
      <w:r w:rsidR="00A64846" w:rsidRPr="00A64846">
        <w:rPr>
          <w:sz w:val="28"/>
          <w:szCs w:val="28"/>
          <w:lang w:eastAsia="ru-RU"/>
        </w:rPr>
        <w:t xml:space="preserve"> склад</w:t>
      </w:r>
      <w:r w:rsidR="00561DC3">
        <w:rPr>
          <w:sz w:val="28"/>
          <w:szCs w:val="28"/>
          <w:lang w:eastAsia="ru-RU"/>
        </w:rPr>
        <w:t>у</w:t>
      </w:r>
      <w:r w:rsidR="00A64846" w:rsidRPr="00A64846">
        <w:rPr>
          <w:sz w:val="28"/>
          <w:szCs w:val="28"/>
          <w:lang w:eastAsia="ru-RU"/>
        </w:rPr>
        <w:t xml:space="preserve"> делегації України для участі у Нараді високого рівня Генеральної Асамблеї ООН з туберкульозу згідно із погодженими критеріями</w:t>
      </w:r>
      <w:r w:rsidR="0057464B">
        <w:rPr>
          <w:sz w:val="28"/>
          <w:szCs w:val="28"/>
          <w:lang w:eastAsia="ru-RU"/>
        </w:rPr>
        <w:t>.</w:t>
      </w:r>
    </w:p>
    <w:p w14:paraId="2DFC2CC3" w14:textId="5F528D7F" w:rsidR="008C3E39" w:rsidRDefault="008C3E39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14:paraId="3E4DF162" w14:textId="10145ED4" w:rsidR="008C3E39" w:rsidRDefault="00843891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8C3E39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3</w:t>
      </w:r>
      <w:r w:rsidR="008C3E39">
        <w:rPr>
          <w:b/>
          <w:sz w:val="28"/>
          <w:szCs w:val="28"/>
          <w:lang w:eastAsia="ru-RU"/>
        </w:rPr>
        <w:t xml:space="preserve">.   </w:t>
      </w:r>
      <w:r w:rsidRPr="00843891">
        <w:rPr>
          <w:b/>
          <w:sz w:val="28"/>
          <w:szCs w:val="28"/>
          <w:lang w:eastAsia="ru-RU"/>
        </w:rPr>
        <w:t>Щодо запитів про необхідність залучення представників груп підвищеного ризику інфікування ВІЛ та захворювання на туберкульоз до роботи Національної ради та її комітетів</w:t>
      </w:r>
      <w:r w:rsidR="00F36DB8" w:rsidRPr="00F36DB8">
        <w:rPr>
          <w:b/>
          <w:sz w:val="28"/>
          <w:szCs w:val="28"/>
          <w:lang w:eastAsia="ru-RU"/>
        </w:rPr>
        <w:t>:</w:t>
      </w:r>
    </w:p>
    <w:p w14:paraId="5BAEDB26" w14:textId="00AD452D" w:rsidR="005B1207" w:rsidRDefault="008E64B0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 w:rsidRPr="008E64B0">
        <w:rPr>
          <w:sz w:val="28"/>
          <w:szCs w:val="28"/>
          <w:lang w:eastAsia="ru-RU"/>
        </w:rPr>
        <w:t>6</w:t>
      </w:r>
      <w:r w:rsidR="005B1207" w:rsidRPr="00FB0652">
        <w:rPr>
          <w:sz w:val="28"/>
          <w:szCs w:val="28"/>
          <w:lang w:eastAsia="ru-RU"/>
        </w:rPr>
        <w:t>.</w:t>
      </w:r>
      <w:r w:rsidR="00843891">
        <w:rPr>
          <w:sz w:val="28"/>
          <w:szCs w:val="28"/>
          <w:lang w:eastAsia="ru-RU"/>
        </w:rPr>
        <w:t>3</w:t>
      </w:r>
      <w:r w:rsidR="005B1207" w:rsidRPr="00FB0652">
        <w:rPr>
          <w:sz w:val="28"/>
          <w:szCs w:val="28"/>
          <w:lang w:eastAsia="ru-RU"/>
        </w:rPr>
        <w:t xml:space="preserve">.1. Погодитися з пропозицією щодо необхідності </w:t>
      </w:r>
      <w:r w:rsidR="00FB0652" w:rsidRPr="00FB0652">
        <w:rPr>
          <w:sz w:val="28"/>
          <w:szCs w:val="28"/>
          <w:lang w:eastAsia="ru-RU"/>
        </w:rPr>
        <w:t xml:space="preserve">залучення представників спільноти ув’язнених та звільнених (як однієї з найбільш уразливих до ВІЛ та </w:t>
      </w:r>
      <w:r w:rsidR="000D7053">
        <w:rPr>
          <w:sz w:val="28"/>
          <w:szCs w:val="28"/>
          <w:lang w:eastAsia="ru-RU"/>
        </w:rPr>
        <w:t>туберкульозу</w:t>
      </w:r>
      <w:r w:rsidR="00FB0652" w:rsidRPr="00FB0652">
        <w:rPr>
          <w:sz w:val="28"/>
          <w:szCs w:val="28"/>
          <w:lang w:eastAsia="ru-RU"/>
        </w:rPr>
        <w:t xml:space="preserve"> груп населення) до участі у роботі Національної ради</w:t>
      </w:r>
      <w:r w:rsidR="00843891">
        <w:rPr>
          <w:sz w:val="28"/>
          <w:szCs w:val="28"/>
          <w:lang w:eastAsia="ru-RU"/>
        </w:rPr>
        <w:t xml:space="preserve"> та її комітетів</w:t>
      </w:r>
      <w:r w:rsidR="00FB0652">
        <w:rPr>
          <w:sz w:val="28"/>
          <w:szCs w:val="28"/>
          <w:lang w:eastAsia="ru-RU"/>
        </w:rPr>
        <w:t>.</w:t>
      </w:r>
    </w:p>
    <w:p w14:paraId="4282ADFA" w14:textId="7783CF21" w:rsidR="00FB0652" w:rsidRPr="00FB0652" w:rsidRDefault="008E64B0" w:rsidP="00D90C82">
      <w:pPr>
        <w:tabs>
          <w:tab w:val="left" w:pos="0"/>
          <w:tab w:val="left" w:pos="851"/>
          <w:tab w:val="left" w:pos="1980"/>
        </w:tabs>
        <w:ind w:firstLine="567"/>
        <w:jc w:val="both"/>
        <w:rPr>
          <w:sz w:val="28"/>
          <w:szCs w:val="28"/>
          <w:lang w:eastAsia="ru-RU"/>
        </w:rPr>
      </w:pPr>
      <w:r w:rsidRPr="00561DC3">
        <w:rPr>
          <w:sz w:val="28"/>
          <w:szCs w:val="28"/>
          <w:lang w:val="ru-RU" w:eastAsia="ru-RU"/>
        </w:rPr>
        <w:t>6</w:t>
      </w:r>
      <w:r w:rsidR="00FB0652">
        <w:rPr>
          <w:sz w:val="28"/>
          <w:szCs w:val="28"/>
          <w:lang w:eastAsia="ru-RU"/>
        </w:rPr>
        <w:t>.</w:t>
      </w:r>
      <w:r w:rsidR="00843891">
        <w:rPr>
          <w:sz w:val="28"/>
          <w:szCs w:val="28"/>
          <w:lang w:eastAsia="ru-RU"/>
        </w:rPr>
        <w:t>3</w:t>
      </w:r>
      <w:r w:rsidR="00FB0652">
        <w:rPr>
          <w:sz w:val="28"/>
          <w:szCs w:val="28"/>
          <w:lang w:eastAsia="ru-RU"/>
        </w:rPr>
        <w:t>.2. Секретаріату Національної ради спільно з Благодійною</w:t>
      </w:r>
      <w:r w:rsidR="00FB0652" w:rsidRPr="00FB0652">
        <w:rPr>
          <w:sz w:val="28"/>
          <w:szCs w:val="28"/>
          <w:lang w:eastAsia="ru-RU"/>
        </w:rPr>
        <w:t xml:space="preserve"> організаці</w:t>
      </w:r>
      <w:r w:rsidR="00FB0652">
        <w:rPr>
          <w:sz w:val="28"/>
          <w:szCs w:val="28"/>
          <w:lang w:eastAsia="ru-RU"/>
        </w:rPr>
        <w:t>єю</w:t>
      </w:r>
      <w:r w:rsidR="00FB0652" w:rsidRPr="00FB0652">
        <w:rPr>
          <w:sz w:val="28"/>
          <w:szCs w:val="28"/>
          <w:lang w:eastAsia="ru-RU"/>
        </w:rPr>
        <w:t xml:space="preserve"> «Вільна зона»</w:t>
      </w:r>
      <w:r w:rsidR="00FB562A">
        <w:rPr>
          <w:sz w:val="28"/>
          <w:szCs w:val="28"/>
          <w:lang w:eastAsia="ru-RU"/>
        </w:rPr>
        <w:t xml:space="preserve"> та </w:t>
      </w:r>
      <w:r w:rsidR="00FB562A" w:rsidRPr="00FB562A">
        <w:rPr>
          <w:sz w:val="28"/>
          <w:szCs w:val="28"/>
          <w:lang w:eastAsia="ru-RU"/>
        </w:rPr>
        <w:t>Благодійн</w:t>
      </w:r>
      <w:r w:rsidR="00FB562A">
        <w:rPr>
          <w:sz w:val="28"/>
          <w:szCs w:val="28"/>
          <w:lang w:eastAsia="ru-RU"/>
        </w:rPr>
        <w:t>ою</w:t>
      </w:r>
      <w:r w:rsidR="00FB562A" w:rsidRPr="00FB562A">
        <w:rPr>
          <w:sz w:val="28"/>
          <w:szCs w:val="28"/>
          <w:lang w:eastAsia="ru-RU"/>
        </w:rPr>
        <w:t xml:space="preserve"> організаці</w:t>
      </w:r>
      <w:r w:rsidR="00FB562A">
        <w:rPr>
          <w:sz w:val="28"/>
          <w:szCs w:val="28"/>
          <w:lang w:eastAsia="ru-RU"/>
        </w:rPr>
        <w:t>єю</w:t>
      </w:r>
      <w:r w:rsidR="00FB562A" w:rsidRPr="00FB562A">
        <w:rPr>
          <w:sz w:val="28"/>
          <w:szCs w:val="28"/>
          <w:lang w:eastAsia="ru-RU"/>
        </w:rPr>
        <w:t xml:space="preserve"> «ВОЛНА»</w:t>
      </w:r>
      <w:r w:rsidR="00FB562A">
        <w:rPr>
          <w:sz w:val="28"/>
          <w:szCs w:val="28"/>
          <w:lang w:eastAsia="ru-RU"/>
        </w:rPr>
        <w:t xml:space="preserve"> </w:t>
      </w:r>
      <w:r w:rsidR="00F92293">
        <w:rPr>
          <w:sz w:val="28"/>
          <w:szCs w:val="28"/>
          <w:lang w:eastAsia="ru-RU"/>
        </w:rPr>
        <w:t>вжити заходів</w:t>
      </w:r>
      <w:r w:rsidR="00FB0652">
        <w:rPr>
          <w:sz w:val="28"/>
          <w:szCs w:val="28"/>
          <w:lang w:eastAsia="ru-RU"/>
        </w:rPr>
        <w:t xml:space="preserve"> щодо забезпечення уведення</w:t>
      </w:r>
      <w:r w:rsidR="00FB0652" w:rsidRPr="00FB0652">
        <w:rPr>
          <w:sz w:val="28"/>
          <w:szCs w:val="28"/>
          <w:lang w:eastAsia="ru-RU"/>
        </w:rPr>
        <w:t xml:space="preserve"> представниц</w:t>
      </w:r>
      <w:r w:rsidR="00FB0652">
        <w:rPr>
          <w:sz w:val="28"/>
          <w:szCs w:val="28"/>
          <w:lang w:eastAsia="ru-RU"/>
        </w:rPr>
        <w:t>тва</w:t>
      </w:r>
      <w:r w:rsidR="00FB0652" w:rsidRPr="00FB0652">
        <w:rPr>
          <w:sz w:val="28"/>
          <w:szCs w:val="28"/>
          <w:lang w:eastAsia="ru-RU"/>
        </w:rPr>
        <w:t xml:space="preserve"> спільноти ув’язнених та звільнених (як однієї з найбільш уразливих до ВІЛ та </w:t>
      </w:r>
      <w:r w:rsidR="000D7053">
        <w:rPr>
          <w:sz w:val="28"/>
          <w:szCs w:val="28"/>
          <w:lang w:eastAsia="ru-RU"/>
        </w:rPr>
        <w:t xml:space="preserve">туберкульозу </w:t>
      </w:r>
      <w:r w:rsidR="00FB0652" w:rsidRPr="00FB0652">
        <w:rPr>
          <w:sz w:val="28"/>
          <w:szCs w:val="28"/>
          <w:lang w:eastAsia="ru-RU"/>
        </w:rPr>
        <w:t xml:space="preserve">груп населення) </w:t>
      </w:r>
      <w:proofErr w:type="gramStart"/>
      <w:r w:rsidR="00FB0652" w:rsidRPr="00FB0652">
        <w:rPr>
          <w:sz w:val="28"/>
          <w:szCs w:val="28"/>
          <w:lang w:eastAsia="ru-RU"/>
        </w:rPr>
        <w:t xml:space="preserve">до </w:t>
      </w:r>
      <w:r w:rsidR="00FB0652">
        <w:rPr>
          <w:sz w:val="28"/>
          <w:szCs w:val="28"/>
          <w:lang w:eastAsia="ru-RU"/>
        </w:rPr>
        <w:t>складу</w:t>
      </w:r>
      <w:proofErr w:type="gramEnd"/>
      <w:r w:rsidR="00FB0652" w:rsidRPr="00FB0652">
        <w:rPr>
          <w:sz w:val="28"/>
          <w:szCs w:val="28"/>
          <w:lang w:eastAsia="ru-RU"/>
        </w:rPr>
        <w:t xml:space="preserve"> Національної ради</w:t>
      </w:r>
      <w:r w:rsidR="00843891">
        <w:rPr>
          <w:sz w:val="28"/>
          <w:szCs w:val="28"/>
          <w:lang w:eastAsia="ru-RU"/>
        </w:rPr>
        <w:t xml:space="preserve"> та її комітетів</w:t>
      </w:r>
      <w:r w:rsidR="00FB0652">
        <w:rPr>
          <w:sz w:val="28"/>
          <w:szCs w:val="28"/>
          <w:lang w:eastAsia="ru-RU"/>
        </w:rPr>
        <w:t>.</w:t>
      </w:r>
    </w:p>
    <w:p w14:paraId="663245E9" w14:textId="77777777" w:rsidR="00722BA0" w:rsidRPr="00722BA0" w:rsidRDefault="00722BA0" w:rsidP="005B663E">
      <w:pPr>
        <w:jc w:val="center"/>
        <w:rPr>
          <w:b/>
          <w:sz w:val="16"/>
          <w:szCs w:val="16"/>
          <w:lang w:eastAsia="ru-RU"/>
        </w:rPr>
      </w:pPr>
    </w:p>
    <w:sectPr w:rsidR="00722BA0" w:rsidRPr="00722BA0" w:rsidSect="00B36F82">
      <w:headerReference w:type="default" r:id="rId8"/>
      <w:pgSz w:w="11906" w:h="16838"/>
      <w:pgMar w:top="568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B5F9" w14:textId="77777777" w:rsidR="008B44C0" w:rsidRDefault="008B44C0" w:rsidP="00B36F82">
      <w:r>
        <w:separator/>
      </w:r>
    </w:p>
  </w:endnote>
  <w:endnote w:type="continuationSeparator" w:id="0">
    <w:p w14:paraId="71774493" w14:textId="77777777" w:rsidR="008B44C0" w:rsidRDefault="008B44C0" w:rsidP="00B3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6795" w14:textId="77777777" w:rsidR="008B44C0" w:rsidRDefault="008B44C0" w:rsidP="00B36F82">
      <w:r>
        <w:separator/>
      </w:r>
    </w:p>
  </w:footnote>
  <w:footnote w:type="continuationSeparator" w:id="0">
    <w:p w14:paraId="41A089C0" w14:textId="77777777" w:rsidR="008B44C0" w:rsidRDefault="008B44C0" w:rsidP="00B3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88670"/>
      <w:docPartObj>
        <w:docPartGallery w:val="Page Numbers (Top of Page)"/>
        <w:docPartUnique/>
      </w:docPartObj>
    </w:sdtPr>
    <w:sdtEndPr/>
    <w:sdtContent>
      <w:p w14:paraId="01810D62" w14:textId="6B93F463" w:rsidR="00402D72" w:rsidRDefault="00402D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C3" w:rsidRPr="00561DC3">
          <w:rPr>
            <w:noProof/>
            <w:lang w:val="ru-RU"/>
          </w:rPr>
          <w:t>4</w:t>
        </w:r>
        <w:r>
          <w:fldChar w:fldCharType="end"/>
        </w:r>
      </w:p>
    </w:sdtContent>
  </w:sdt>
  <w:p w14:paraId="4EEB0B84" w14:textId="77777777" w:rsidR="00402D72" w:rsidRDefault="00402D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9F9"/>
    <w:multiLevelType w:val="hybridMultilevel"/>
    <w:tmpl w:val="3DFAFFCA"/>
    <w:lvl w:ilvl="0" w:tplc="8F32F7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433"/>
    <w:multiLevelType w:val="hybridMultilevel"/>
    <w:tmpl w:val="EB64FEE8"/>
    <w:lvl w:ilvl="0" w:tplc="ABE2AB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0E1"/>
    <w:multiLevelType w:val="hybridMultilevel"/>
    <w:tmpl w:val="E3E200A0"/>
    <w:lvl w:ilvl="0" w:tplc="96C8DAD8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85A"/>
    <w:multiLevelType w:val="hybridMultilevel"/>
    <w:tmpl w:val="AF1C4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FE8"/>
    <w:multiLevelType w:val="hybridMultilevel"/>
    <w:tmpl w:val="7918FAE4"/>
    <w:lvl w:ilvl="0" w:tplc="3D78ADC6">
      <w:start w:val="1"/>
      <w:numFmt w:val="bullet"/>
      <w:lvlText w:val="̶"/>
      <w:lvlJc w:val="left"/>
      <w:pPr>
        <w:ind w:left="136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7FA5"/>
    <w:multiLevelType w:val="multilevel"/>
    <w:tmpl w:val="78B88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5CD75EA"/>
    <w:multiLevelType w:val="hybridMultilevel"/>
    <w:tmpl w:val="5470CAB0"/>
    <w:lvl w:ilvl="0" w:tplc="E7A08D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F93447"/>
    <w:multiLevelType w:val="hybridMultilevel"/>
    <w:tmpl w:val="1228CDC0"/>
    <w:lvl w:ilvl="0" w:tplc="38CA2E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586F"/>
    <w:multiLevelType w:val="multilevel"/>
    <w:tmpl w:val="78B88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A875D48"/>
    <w:multiLevelType w:val="hybridMultilevel"/>
    <w:tmpl w:val="8C8EC788"/>
    <w:lvl w:ilvl="0" w:tplc="9FB0B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2055"/>
    <w:multiLevelType w:val="multilevel"/>
    <w:tmpl w:val="728C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22401A"/>
    <w:multiLevelType w:val="hybridMultilevel"/>
    <w:tmpl w:val="B7C0E478"/>
    <w:lvl w:ilvl="0" w:tplc="ABE2AB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5904"/>
    <w:multiLevelType w:val="hybridMultilevel"/>
    <w:tmpl w:val="DDE4035C"/>
    <w:lvl w:ilvl="0" w:tplc="AE8CB0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5900"/>
    <w:multiLevelType w:val="hybridMultilevel"/>
    <w:tmpl w:val="5BD698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A757C"/>
    <w:multiLevelType w:val="hybridMultilevel"/>
    <w:tmpl w:val="D004C5EC"/>
    <w:lvl w:ilvl="0" w:tplc="1528EB4E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26D20"/>
    <w:multiLevelType w:val="hybridMultilevel"/>
    <w:tmpl w:val="9B3E0DA2"/>
    <w:lvl w:ilvl="0" w:tplc="A4BC32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04134"/>
    <w:multiLevelType w:val="hybridMultilevel"/>
    <w:tmpl w:val="93A4643E"/>
    <w:lvl w:ilvl="0" w:tplc="508A38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D5F0A"/>
    <w:multiLevelType w:val="hybridMultilevel"/>
    <w:tmpl w:val="8B408544"/>
    <w:lvl w:ilvl="0" w:tplc="7D8017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16"/>
  </w:num>
  <w:num w:numId="9">
    <w:abstractNumId w:val="12"/>
  </w:num>
  <w:num w:numId="10">
    <w:abstractNumId w:val="15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FF"/>
    <w:rsid w:val="00005B8F"/>
    <w:rsid w:val="00021F9A"/>
    <w:rsid w:val="00023958"/>
    <w:rsid w:val="00026388"/>
    <w:rsid w:val="00033C82"/>
    <w:rsid w:val="00050BD5"/>
    <w:rsid w:val="00063A68"/>
    <w:rsid w:val="000748E4"/>
    <w:rsid w:val="00077196"/>
    <w:rsid w:val="0008337D"/>
    <w:rsid w:val="00087568"/>
    <w:rsid w:val="00087AD3"/>
    <w:rsid w:val="000944B3"/>
    <w:rsid w:val="000A0D2E"/>
    <w:rsid w:val="000A3AE4"/>
    <w:rsid w:val="000B2D24"/>
    <w:rsid w:val="000D2AB2"/>
    <w:rsid w:val="000D7053"/>
    <w:rsid w:val="000E196D"/>
    <w:rsid w:val="000F5AE0"/>
    <w:rsid w:val="00103220"/>
    <w:rsid w:val="00121C2F"/>
    <w:rsid w:val="00130660"/>
    <w:rsid w:val="001339FC"/>
    <w:rsid w:val="0017727F"/>
    <w:rsid w:val="001804AE"/>
    <w:rsid w:val="0018452E"/>
    <w:rsid w:val="00196115"/>
    <w:rsid w:val="001A3A8F"/>
    <w:rsid w:val="001A5024"/>
    <w:rsid w:val="001E1209"/>
    <w:rsid w:val="001E1A80"/>
    <w:rsid w:val="001E413C"/>
    <w:rsid w:val="001E464A"/>
    <w:rsid w:val="001E5702"/>
    <w:rsid w:val="00207595"/>
    <w:rsid w:val="002127E3"/>
    <w:rsid w:val="00212EBA"/>
    <w:rsid w:val="00216767"/>
    <w:rsid w:val="00224564"/>
    <w:rsid w:val="002447BB"/>
    <w:rsid w:val="00247FD6"/>
    <w:rsid w:val="0028014C"/>
    <w:rsid w:val="00284EC6"/>
    <w:rsid w:val="00286AFB"/>
    <w:rsid w:val="00287FB4"/>
    <w:rsid w:val="00296D8B"/>
    <w:rsid w:val="002A1311"/>
    <w:rsid w:val="002A5314"/>
    <w:rsid w:val="002B2AD3"/>
    <w:rsid w:val="002B4943"/>
    <w:rsid w:val="002C3406"/>
    <w:rsid w:val="002C5093"/>
    <w:rsid w:val="002D2B25"/>
    <w:rsid w:val="002D3050"/>
    <w:rsid w:val="002E671A"/>
    <w:rsid w:val="002F3852"/>
    <w:rsid w:val="00301C7F"/>
    <w:rsid w:val="003125EF"/>
    <w:rsid w:val="00314F04"/>
    <w:rsid w:val="00317701"/>
    <w:rsid w:val="003368B7"/>
    <w:rsid w:val="00336EA4"/>
    <w:rsid w:val="0034480B"/>
    <w:rsid w:val="003537A1"/>
    <w:rsid w:val="00356A71"/>
    <w:rsid w:val="00365F15"/>
    <w:rsid w:val="00365F47"/>
    <w:rsid w:val="003754C8"/>
    <w:rsid w:val="00375760"/>
    <w:rsid w:val="00396698"/>
    <w:rsid w:val="003B0B21"/>
    <w:rsid w:val="003B1D60"/>
    <w:rsid w:val="003B4970"/>
    <w:rsid w:val="003B5E83"/>
    <w:rsid w:val="003C07D6"/>
    <w:rsid w:val="003C4FAE"/>
    <w:rsid w:val="003C51A2"/>
    <w:rsid w:val="003E4FCC"/>
    <w:rsid w:val="003F3D23"/>
    <w:rsid w:val="00402D72"/>
    <w:rsid w:val="00403C04"/>
    <w:rsid w:val="004040E2"/>
    <w:rsid w:val="004060CF"/>
    <w:rsid w:val="0042398A"/>
    <w:rsid w:val="00425425"/>
    <w:rsid w:val="00427FCF"/>
    <w:rsid w:val="00435DF5"/>
    <w:rsid w:val="0044693D"/>
    <w:rsid w:val="00461569"/>
    <w:rsid w:val="00470EF7"/>
    <w:rsid w:val="004837EE"/>
    <w:rsid w:val="00484AD9"/>
    <w:rsid w:val="00490A92"/>
    <w:rsid w:val="004953C3"/>
    <w:rsid w:val="004B3194"/>
    <w:rsid w:val="004B4001"/>
    <w:rsid w:val="004C1A38"/>
    <w:rsid w:val="004C788F"/>
    <w:rsid w:val="004D4CF2"/>
    <w:rsid w:val="004D76F3"/>
    <w:rsid w:val="004F2ADD"/>
    <w:rsid w:val="004F33BF"/>
    <w:rsid w:val="005021A1"/>
    <w:rsid w:val="00510B4A"/>
    <w:rsid w:val="0051345D"/>
    <w:rsid w:val="005166DA"/>
    <w:rsid w:val="005226B0"/>
    <w:rsid w:val="00531AC3"/>
    <w:rsid w:val="00531F71"/>
    <w:rsid w:val="00540589"/>
    <w:rsid w:val="005416B8"/>
    <w:rsid w:val="005610F4"/>
    <w:rsid w:val="00561DC3"/>
    <w:rsid w:val="00573EAA"/>
    <w:rsid w:val="0057464B"/>
    <w:rsid w:val="00582C80"/>
    <w:rsid w:val="005844B3"/>
    <w:rsid w:val="00595E0F"/>
    <w:rsid w:val="005A64FC"/>
    <w:rsid w:val="005B1207"/>
    <w:rsid w:val="005B62A3"/>
    <w:rsid w:val="005B663E"/>
    <w:rsid w:val="005C2A04"/>
    <w:rsid w:val="005C4D2A"/>
    <w:rsid w:val="005C7044"/>
    <w:rsid w:val="005F674F"/>
    <w:rsid w:val="005F7EF7"/>
    <w:rsid w:val="006051BD"/>
    <w:rsid w:val="00613F6D"/>
    <w:rsid w:val="0063546E"/>
    <w:rsid w:val="00642B1B"/>
    <w:rsid w:val="00645869"/>
    <w:rsid w:val="0065171C"/>
    <w:rsid w:val="00664D86"/>
    <w:rsid w:val="00682980"/>
    <w:rsid w:val="006A2227"/>
    <w:rsid w:val="006B24CB"/>
    <w:rsid w:val="006C547E"/>
    <w:rsid w:val="006C60FF"/>
    <w:rsid w:val="006D785A"/>
    <w:rsid w:val="006E3AB7"/>
    <w:rsid w:val="006F2907"/>
    <w:rsid w:val="00700F2D"/>
    <w:rsid w:val="00704FBD"/>
    <w:rsid w:val="007078C1"/>
    <w:rsid w:val="00715218"/>
    <w:rsid w:val="00717493"/>
    <w:rsid w:val="00722BA0"/>
    <w:rsid w:val="00725A21"/>
    <w:rsid w:val="00725D85"/>
    <w:rsid w:val="00726609"/>
    <w:rsid w:val="007352BF"/>
    <w:rsid w:val="00742DD7"/>
    <w:rsid w:val="00752141"/>
    <w:rsid w:val="0075715C"/>
    <w:rsid w:val="00765059"/>
    <w:rsid w:val="00765B25"/>
    <w:rsid w:val="00774558"/>
    <w:rsid w:val="00785D35"/>
    <w:rsid w:val="00790560"/>
    <w:rsid w:val="00791204"/>
    <w:rsid w:val="007912B6"/>
    <w:rsid w:val="007A14D5"/>
    <w:rsid w:val="007A66A8"/>
    <w:rsid w:val="007A7342"/>
    <w:rsid w:val="007B3FEE"/>
    <w:rsid w:val="007D40CA"/>
    <w:rsid w:val="007E328A"/>
    <w:rsid w:val="007E4BBB"/>
    <w:rsid w:val="007E64BE"/>
    <w:rsid w:val="007F68C9"/>
    <w:rsid w:val="00800274"/>
    <w:rsid w:val="008016F7"/>
    <w:rsid w:val="00843891"/>
    <w:rsid w:val="008457B2"/>
    <w:rsid w:val="00850D8C"/>
    <w:rsid w:val="0085465B"/>
    <w:rsid w:val="00862998"/>
    <w:rsid w:val="008702CD"/>
    <w:rsid w:val="0087606A"/>
    <w:rsid w:val="0088559A"/>
    <w:rsid w:val="00890CB0"/>
    <w:rsid w:val="008A697E"/>
    <w:rsid w:val="008B1024"/>
    <w:rsid w:val="008B44C0"/>
    <w:rsid w:val="008C1A7C"/>
    <w:rsid w:val="008C3E39"/>
    <w:rsid w:val="008C570D"/>
    <w:rsid w:val="008E2E5B"/>
    <w:rsid w:val="008E3AEA"/>
    <w:rsid w:val="008E64B0"/>
    <w:rsid w:val="008F65F0"/>
    <w:rsid w:val="00901155"/>
    <w:rsid w:val="00906195"/>
    <w:rsid w:val="0092743A"/>
    <w:rsid w:val="00931287"/>
    <w:rsid w:val="0093429B"/>
    <w:rsid w:val="009346E7"/>
    <w:rsid w:val="009371B7"/>
    <w:rsid w:val="009461A6"/>
    <w:rsid w:val="0095375C"/>
    <w:rsid w:val="0095552B"/>
    <w:rsid w:val="009640EB"/>
    <w:rsid w:val="009643C0"/>
    <w:rsid w:val="00977A18"/>
    <w:rsid w:val="009828C1"/>
    <w:rsid w:val="00983BA9"/>
    <w:rsid w:val="00987492"/>
    <w:rsid w:val="0099260B"/>
    <w:rsid w:val="009C5C77"/>
    <w:rsid w:val="009C7C8E"/>
    <w:rsid w:val="009D1A9E"/>
    <w:rsid w:val="009D1EAF"/>
    <w:rsid w:val="009D32DD"/>
    <w:rsid w:val="009E1AD7"/>
    <w:rsid w:val="009E358D"/>
    <w:rsid w:val="009E69E1"/>
    <w:rsid w:val="00A0172A"/>
    <w:rsid w:val="00A10099"/>
    <w:rsid w:val="00A25022"/>
    <w:rsid w:val="00A31FBE"/>
    <w:rsid w:val="00A62541"/>
    <w:rsid w:val="00A64846"/>
    <w:rsid w:val="00A67C7A"/>
    <w:rsid w:val="00A730D3"/>
    <w:rsid w:val="00A734BC"/>
    <w:rsid w:val="00A73A75"/>
    <w:rsid w:val="00A74FDA"/>
    <w:rsid w:val="00A82F67"/>
    <w:rsid w:val="00A84E6D"/>
    <w:rsid w:val="00A968CA"/>
    <w:rsid w:val="00AA6129"/>
    <w:rsid w:val="00AB5F4E"/>
    <w:rsid w:val="00AC024F"/>
    <w:rsid w:val="00AC09DE"/>
    <w:rsid w:val="00AC14CD"/>
    <w:rsid w:val="00AD3269"/>
    <w:rsid w:val="00AD34CE"/>
    <w:rsid w:val="00AE090E"/>
    <w:rsid w:val="00AF03A2"/>
    <w:rsid w:val="00AF7CA7"/>
    <w:rsid w:val="00B00FE4"/>
    <w:rsid w:val="00B32E1D"/>
    <w:rsid w:val="00B36F82"/>
    <w:rsid w:val="00B60672"/>
    <w:rsid w:val="00B6753B"/>
    <w:rsid w:val="00B705BC"/>
    <w:rsid w:val="00B7504C"/>
    <w:rsid w:val="00B75F2E"/>
    <w:rsid w:val="00B762FC"/>
    <w:rsid w:val="00B767D8"/>
    <w:rsid w:val="00B80370"/>
    <w:rsid w:val="00B81630"/>
    <w:rsid w:val="00B82869"/>
    <w:rsid w:val="00B84945"/>
    <w:rsid w:val="00B92750"/>
    <w:rsid w:val="00BA3847"/>
    <w:rsid w:val="00BB37BB"/>
    <w:rsid w:val="00BC4C5E"/>
    <w:rsid w:val="00BD5975"/>
    <w:rsid w:val="00BD70B6"/>
    <w:rsid w:val="00BE2CCD"/>
    <w:rsid w:val="00BE3762"/>
    <w:rsid w:val="00BF03FF"/>
    <w:rsid w:val="00BF51F2"/>
    <w:rsid w:val="00C07FF5"/>
    <w:rsid w:val="00C1307E"/>
    <w:rsid w:val="00C1490E"/>
    <w:rsid w:val="00C239EE"/>
    <w:rsid w:val="00C335CC"/>
    <w:rsid w:val="00C33AC3"/>
    <w:rsid w:val="00C35B75"/>
    <w:rsid w:val="00C50F72"/>
    <w:rsid w:val="00C52077"/>
    <w:rsid w:val="00C54681"/>
    <w:rsid w:val="00C71B0D"/>
    <w:rsid w:val="00CA2A06"/>
    <w:rsid w:val="00CA60CE"/>
    <w:rsid w:val="00CC722C"/>
    <w:rsid w:val="00CD3BC6"/>
    <w:rsid w:val="00CD64D5"/>
    <w:rsid w:val="00CE4BCD"/>
    <w:rsid w:val="00CE7733"/>
    <w:rsid w:val="00CF2434"/>
    <w:rsid w:val="00D008E3"/>
    <w:rsid w:val="00D05FA0"/>
    <w:rsid w:val="00D06FC3"/>
    <w:rsid w:val="00D14E0D"/>
    <w:rsid w:val="00D220E8"/>
    <w:rsid w:val="00D26964"/>
    <w:rsid w:val="00D35271"/>
    <w:rsid w:val="00D35D0F"/>
    <w:rsid w:val="00D375AB"/>
    <w:rsid w:val="00D37EC5"/>
    <w:rsid w:val="00D51D8F"/>
    <w:rsid w:val="00D53EBF"/>
    <w:rsid w:val="00D55305"/>
    <w:rsid w:val="00D6056E"/>
    <w:rsid w:val="00D74C01"/>
    <w:rsid w:val="00D8674B"/>
    <w:rsid w:val="00D9087F"/>
    <w:rsid w:val="00D90C82"/>
    <w:rsid w:val="00D946E2"/>
    <w:rsid w:val="00DA010D"/>
    <w:rsid w:val="00DA05C1"/>
    <w:rsid w:val="00DA4926"/>
    <w:rsid w:val="00DB3227"/>
    <w:rsid w:val="00DB7469"/>
    <w:rsid w:val="00DC06F7"/>
    <w:rsid w:val="00DC6B73"/>
    <w:rsid w:val="00DD7E8C"/>
    <w:rsid w:val="00DE23BB"/>
    <w:rsid w:val="00DE31E8"/>
    <w:rsid w:val="00DE6BE8"/>
    <w:rsid w:val="00E07B6F"/>
    <w:rsid w:val="00E11BAA"/>
    <w:rsid w:val="00E14D9B"/>
    <w:rsid w:val="00E1670D"/>
    <w:rsid w:val="00E31045"/>
    <w:rsid w:val="00E322D3"/>
    <w:rsid w:val="00E3386B"/>
    <w:rsid w:val="00E407D6"/>
    <w:rsid w:val="00E41483"/>
    <w:rsid w:val="00E43B22"/>
    <w:rsid w:val="00E51248"/>
    <w:rsid w:val="00E513D8"/>
    <w:rsid w:val="00E6251B"/>
    <w:rsid w:val="00E8592F"/>
    <w:rsid w:val="00EB0E3B"/>
    <w:rsid w:val="00EB2EDB"/>
    <w:rsid w:val="00F00FE4"/>
    <w:rsid w:val="00F036AB"/>
    <w:rsid w:val="00F1085A"/>
    <w:rsid w:val="00F24165"/>
    <w:rsid w:val="00F25B45"/>
    <w:rsid w:val="00F302B4"/>
    <w:rsid w:val="00F32CC7"/>
    <w:rsid w:val="00F33D81"/>
    <w:rsid w:val="00F36DB8"/>
    <w:rsid w:val="00F40D60"/>
    <w:rsid w:val="00F46C90"/>
    <w:rsid w:val="00F51388"/>
    <w:rsid w:val="00F65905"/>
    <w:rsid w:val="00F748A9"/>
    <w:rsid w:val="00F76420"/>
    <w:rsid w:val="00F77B20"/>
    <w:rsid w:val="00F8349F"/>
    <w:rsid w:val="00F92293"/>
    <w:rsid w:val="00FA595C"/>
    <w:rsid w:val="00FB0652"/>
    <w:rsid w:val="00FB0DC9"/>
    <w:rsid w:val="00FB562A"/>
    <w:rsid w:val="00FB7DA8"/>
    <w:rsid w:val="00FC0C51"/>
    <w:rsid w:val="00FC2831"/>
    <w:rsid w:val="00FE1D90"/>
    <w:rsid w:val="00FE51E8"/>
    <w:rsid w:val="00FE7FC1"/>
    <w:rsid w:val="00FF0640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A3C0"/>
  <w15:chartTrackingRefBased/>
  <w15:docId w15:val="{8387802C-49D4-4416-9531-E679D4AC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5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60"/>
    <w:rPr>
      <w:rFonts w:ascii="Segoe UI" w:eastAsia="Times New Roman" w:hAnsi="Segoe UI" w:cs="Segoe UI"/>
      <w:sz w:val="18"/>
      <w:szCs w:val="18"/>
      <w:lang w:eastAsia="uk-UA"/>
    </w:rPr>
  </w:style>
  <w:style w:type="character" w:styleId="a6">
    <w:name w:val="Intense Emphasis"/>
    <w:basedOn w:val="a0"/>
    <w:uiPriority w:val="21"/>
    <w:qFormat/>
    <w:rsid w:val="00375760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B36F8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8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B36F8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6F8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AC14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4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4C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4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4C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9437-3332-419F-9163-4F46ACAD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6182</Words>
  <Characters>3525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Shnerenko</dc:creator>
  <cp:keywords/>
  <dc:description/>
  <cp:lastModifiedBy>Liubov Kravets</cp:lastModifiedBy>
  <cp:revision>59</cp:revision>
  <cp:lastPrinted>2018-06-22T11:30:00Z</cp:lastPrinted>
  <dcterms:created xsi:type="dcterms:W3CDTF">2018-06-05T10:43:00Z</dcterms:created>
  <dcterms:modified xsi:type="dcterms:W3CDTF">2018-07-03T09:32:00Z</dcterms:modified>
</cp:coreProperties>
</file>